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579C5C">
      <w:pPr>
        <w:pStyle w:val="67"/>
        <w:numPr>
          <w:ilvl w:val="5"/>
          <w:numId w:val="0"/>
        </w:numPr>
        <w:spacing w:before="120" w:after="120"/>
        <w:jc w:val="distribute"/>
        <w:rPr>
          <w:rFonts w:hint="eastAsia" w:hAnsi="黑体"/>
          <w:color w:val="auto"/>
          <w:sz w:val="48"/>
          <w:szCs w:val="48"/>
        </w:rPr>
      </w:pPr>
      <w:bookmarkStart w:id="0" w:name="_Hlk126332522"/>
      <w:bookmarkEnd w:id="0"/>
      <w:bookmarkStart w:id="1" w:name="_Hlk26473981"/>
      <w:r>
        <w:rPr>
          <w:rFonts w:hint="eastAsia"/>
          <w:color w:val="auto"/>
          <w:sz w:val="48"/>
        </w:rPr>
        <w:t>团体</w:t>
      </w:r>
      <w:r>
        <w:rPr>
          <w:rFonts w:hint="eastAsia" w:hAnsi="黑体"/>
          <w:color w:val="auto"/>
          <w:sz w:val="48"/>
          <w:szCs w:val="48"/>
        </w:rPr>
        <w:t>标准</w:t>
      </w:r>
    </w:p>
    <w:bookmarkEnd w:id="1"/>
    <w:p w14:paraId="2C1636E9">
      <w:pPr>
        <w:pStyle w:val="45"/>
        <w:rPr>
          <w:color w:val="auto"/>
        </w:rPr>
      </w:pPr>
      <w:bookmarkStart w:id="2" w:name="_Hlk103760040"/>
      <w:r>
        <w:rPr>
          <w:color w:val="auto"/>
        </w:rPr>
        <w:t>T/C</w:t>
      </w:r>
      <w:r>
        <w:rPr>
          <w:rFonts w:hint="eastAsia"/>
          <w:color w:val="auto"/>
          <w:lang w:val="en-US" w:eastAsia="zh-CN"/>
        </w:rPr>
        <w:t>R</w:t>
      </w:r>
      <w:r>
        <w:rPr>
          <w:color w:val="auto"/>
        </w:rPr>
        <w:t>IA 1800XX</w:t>
      </w:r>
      <w:r>
        <w:rPr>
          <w:rFonts w:hAnsi="黑体"/>
          <w:color w:val="auto"/>
        </w:rPr>
        <w:t>—</w:t>
      </w:r>
      <w:r>
        <w:rPr>
          <w:color w:val="auto"/>
        </w:rPr>
        <w:t>202</w:t>
      </w:r>
      <w:r>
        <w:rPr>
          <w:rFonts w:hint="eastAsia"/>
          <w:color w:val="auto"/>
        </w:rPr>
        <w:t>X</w:t>
      </w:r>
    </w:p>
    <w:p w14:paraId="6B45590A">
      <w:pPr>
        <w:pStyle w:val="46"/>
        <w:rPr>
          <w:rFonts w:hint="eastAsia" w:hAnsi="黑体"/>
          <w:color w:val="auto"/>
        </w:rPr>
      </w:pPr>
      <w:bookmarkStart w:id="3" w:name="_Hlk103760188"/>
      <w:r>
        <w:rPr>
          <w:rFonts w:hAnsi="黑体"/>
          <w:color w:val="auto"/>
        </w:rPr>
        <w:fldChar w:fldCharType="begin">
          <w:ffData>
            <w:name w:val="OSTD_CODE"/>
            <w:enabled/>
            <w:calcOnExit w:val="0"/>
            <w:textInput/>
          </w:ffData>
        </w:fldChar>
      </w:r>
      <w:bookmarkStart w:id="4" w:name="OSTD_CODE"/>
      <w:r>
        <w:rPr>
          <w:rFonts w:hAnsi="黑体"/>
          <w:color w:val="auto"/>
        </w:rPr>
        <w:instrText xml:space="preserve"> FORMTEXT </w:instrText>
      </w:r>
      <w:r>
        <w:rPr>
          <w:rFonts w:hAnsi="黑体"/>
          <w:color w:val="auto"/>
        </w:rPr>
        <w:fldChar w:fldCharType="separate"/>
      </w:r>
      <w:r>
        <w:rPr>
          <w:rFonts w:hAnsi="黑体"/>
          <w:color w:val="auto"/>
        </w:rPr>
        <w:t>     </w:t>
      </w:r>
      <w:r>
        <w:rPr>
          <w:rFonts w:hAnsi="黑体"/>
          <w:color w:val="auto"/>
        </w:rPr>
        <w:fldChar w:fldCharType="end"/>
      </w:r>
      <w:bookmarkEnd w:id="4"/>
    </w:p>
    <w:tbl>
      <w:tblPr>
        <w:tblStyle w:val="18"/>
        <w:tblW w:w="949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9498"/>
      </w:tblGrid>
      <w:tr w14:paraId="08EF9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498" w:type="dxa"/>
          </w:tcPr>
          <w:p w14:paraId="5E75D103">
            <w:pPr>
              <w:pStyle w:val="10"/>
              <w:framePr w:wrap="notBeside" w:vAnchor="page" w:hAnchor="page" w:x="1484" w:y="541"/>
              <w:tabs>
                <w:tab w:val="clear" w:pos="4153"/>
                <w:tab w:val="clear" w:pos="8306"/>
              </w:tabs>
              <w:spacing w:line="240" w:lineRule="auto"/>
              <w:ind w:firstLine="210" w:firstLineChars="100"/>
              <w:jc w:val="both"/>
              <w:rPr>
                <w:rFonts w:hint="eastAsia" w:ascii="黑体" w:hAnsi="黑体" w:eastAsia="黑体"/>
                <w:color w:val="auto"/>
                <w:kern w:val="0"/>
                <w:sz w:val="21"/>
                <w:szCs w:val="21"/>
              </w:rPr>
            </w:pPr>
            <w:bookmarkStart w:id="5" w:name="_Hlk100326876"/>
            <w:bookmarkStart w:id="6" w:name="_Hlk103760285"/>
            <w:r>
              <w:rPr>
                <w:rFonts w:ascii="Times New Roman" w:hAnsi="Times New Roman" w:eastAsia="黑体"/>
                <w:color w:val="auto"/>
                <w:kern w:val="0"/>
                <w:sz w:val="21"/>
                <w:szCs w:val="21"/>
              </w:rPr>
              <w:t>ICS</w:t>
            </w:r>
            <w:r>
              <w:rPr>
                <w:rFonts w:ascii="黑体" w:hAnsi="黑体" w:eastAsia="黑体"/>
                <w:color w:val="auto"/>
                <w:kern w:val="0"/>
                <w:sz w:val="16"/>
                <w:szCs w:val="16"/>
              </w:rPr>
              <w:t xml:space="preserve">  </w:t>
            </w:r>
            <w:r>
              <w:rPr>
                <w:rFonts w:ascii="黑体" w:hAnsi="黑体" w:eastAsia="黑体"/>
                <w:color w:val="auto"/>
                <w:kern w:val="0"/>
                <w:sz w:val="21"/>
                <w:szCs w:val="21"/>
              </w:rPr>
              <w:t>27</w:t>
            </w:r>
            <w:r>
              <w:rPr>
                <w:rFonts w:hint="eastAsia" w:ascii="黑体" w:hAnsi="黑体" w:eastAsia="黑体"/>
                <w:color w:val="auto"/>
                <w:kern w:val="0"/>
                <w:sz w:val="21"/>
                <w:szCs w:val="21"/>
              </w:rPr>
              <w:t>.</w:t>
            </w:r>
            <w:r>
              <w:rPr>
                <w:rFonts w:ascii="黑体" w:hAnsi="黑体" w:eastAsia="黑体"/>
                <w:color w:val="auto"/>
                <w:kern w:val="0"/>
                <w:sz w:val="21"/>
                <w:szCs w:val="21"/>
              </w:rPr>
              <w:t>10</w:t>
            </w:r>
          </w:p>
          <w:p w14:paraId="68E04E02">
            <w:pPr>
              <w:pStyle w:val="10"/>
              <w:framePr w:wrap="notBeside" w:vAnchor="page" w:hAnchor="page" w:x="1484" w:y="541"/>
              <w:tabs>
                <w:tab w:val="clear" w:pos="4153"/>
                <w:tab w:val="clear" w:pos="8306"/>
              </w:tabs>
              <w:spacing w:line="240" w:lineRule="auto"/>
              <w:ind w:firstLine="210" w:firstLineChars="100"/>
              <w:jc w:val="both"/>
              <w:rPr>
                <w:rFonts w:hint="eastAsia" w:ascii="黑体" w:hAnsi="黑体" w:eastAsia="黑体"/>
                <w:color w:val="auto"/>
                <w:kern w:val="0"/>
                <w:sz w:val="21"/>
                <w:szCs w:val="21"/>
              </w:rPr>
            </w:pPr>
            <w:r>
              <w:rPr>
                <w:rFonts w:ascii="Times New Roman" w:hAnsi="Times New Roman" w:eastAsia="黑体"/>
                <w:color w:val="auto"/>
                <w:kern w:val="0"/>
                <w:sz w:val="21"/>
                <w:szCs w:val="21"/>
              </w:rPr>
              <w:t>CCS</w:t>
            </w:r>
            <w:r>
              <w:rPr>
                <w:rFonts w:ascii="黑体" w:hAnsi="黑体" w:eastAsia="黑体"/>
                <w:color w:val="auto"/>
                <w:kern w:val="0"/>
                <w:sz w:val="21"/>
                <w:szCs w:val="21"/>
              </w:rPr>
              <w:t xml:space="preserve"> </w:t>
            </w:r>
            <w:r>
              <w:rPr>
                <w:rFonts w:hint="eastAsia" w:ascii="黑体" w:hAnsi="黑体" w:eastAsia="黑体"/>
                <w:color w:val="auto"/>
                <w:kern w:val="0"/>
                <w:sz w:val="21"/>
                <w:szCs w:val="21"/>
              </w:rPr>
              <w:t>G</w:t>
            </w:r>
            <w:r>
              <w:rPr>
                <w:rFonts w:ascii="黑体" w:hAnsi="黑体" w:eastAsia="黑体"/>
                <w:color w:val="auto"/>
                <w:kern w:val="0"/>
                <w:sz w:val="21"/>
                <w:szCs w:val="21"/>
              </w:rPr>
              <w:t xml:space="preserve"> 40</w:t>
            </w:r>
          </w:p>
          <w:p w14:paraId="001D8E7A">
            <w:pPr>
              <w:pStyle w:val="10"/>
              <w:framePr w:wrap="notBeside" w:vAnchor="page" w:hAnchor="page" w:x="1484" w:y="541"/>
              <w:tabs>
                <w:tab w:val="clear" w:pos="4153"/>
                <w:tab w:val="clear" w:pos="8306"/>
              </w:tabs>
              <w:spacing w:line="240" w:lineRule="auto"/>
              <w:ind w:firstLine="4944" w:firstLineChars="395"/>
              <w:jc w:val="both"/>
              <w:rPr>
                <w:rFonts w:hint="eastAsia" w:ascii="黑体" w:hAnsi="黑体" w:eastAsia="黑体"/>
                <w:color w:val="auto"/>
                <w:kern w:val="0"/>
                <w:sz w:val="21"/>
                <w:szCs w:val="21"/>
              </w:rPr>
            </w:pPr>
            <w:r>
              <w:rPr>
                <w:rFonts w:ascii="Times New Roman" w:hAnsi="Times New Roman"/>
                <w:b/>
                <w:color w:val="auto"/>
                <w:w w:val="130"/>
                <w:kern w:val="0"/>
                <w:sz w:val="96"/>
                <w:szCs w:val="20"/>
              </w:rPr>
              <w:t>T/C</w:t>
            </w:r>
            <w:r>
              <w:rPr>
                <w:rFonts w:hint="eastAsia" w:ascii="Times New Roman" w:hAnsi="Times New Roman"/>
                <w:b/>
                <w:color w:val="auto"/>
                <w:w w:val="130"/>
                <w:kern w:val="0"/>
                <w:sz w:val="96"/>
                <w:szCs w:val="20"/>
                <w:lang w:val="en-US" w:eastAsia="zh-CN"/>
              </w:rPr>
              <w:t>R</w:t>
            </w:r>
            <w:r>
              <w:rPr>
                <w:rFonts w:ascii="Times New Roman" w:hAnsi="Times New Roman"/>
                <w:b/>
                <w:color w:val="auto"/>
                <w:w w:val="130"/>
                <w:kern w:val="0"/>
                <w:sz w:val="96"/>
                <w:szCs w:val="20"/>
              </w:rPr>
              <w:t>IA</w:t>
            </w:r>
          </w:p>
        </w:tc>
      </w:tr>
      <w:bookmarkEnd w:id="5"/>
    </w:tbl>
    <w:p w14:paraId="6ADE4397">
      <w:pPr>
        <w:spacing w:line="240" w:lineRule="auto"/>
        <w:rPr>
          <w:rFonts w:hint="eastAsia" w:ascii="黑体" w:hAnsi="黑体" w:eastAsia="黑体"/>
          <w:color w:val="auto"/>
          <w:kern w:val="0"/>
          <w:sz w:val="10"/>
          <w:szCs w:val="10"/>
        </w:rPr>
      </w:pPr>
      <w:r>
        <w:rPr>
          <w:rFonts w:ascii="黑体" w:hAnsi="黑体" w:eastAsia="黑体"/>
          <w:color w:val="auto"/>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CeD&#10;SZbYAAAADAEAAA8AAAAAAAAAAQAgAAAAIgAAAGRycy9kb3ducmV2LnhtbFBLAQIUABQAAAAIAIdO&#10;4kDurh1R6gEAALoDAAAOAAAAAAAAAAEAIAAAACcBAABkcnMvZTJvRG9jLnhtbFBLBQYAAAAABgAG&#10;AFkBAACDBQAAAAA=&#10;">
                <v:fill on="f" focussize="0,0"/>
                <v:stroke color="#000000" joinstyle="round"/>
                <v:imagedata o:title=""/>
                <o:lock v:ext="edit" aspectratio="f"/>
              </v:line>
            </w:pict>
          </mc:Fallback>
        </mc:AlternateContent>
      </w:r>
    </w:p>
    <w:bookmarkEnd w:id="2"/>
    <w:bookmarkEnd w:id="3"/>
    <w:p w14:paraId="6BD3E145">
      <w:pPr>
        <w:pStyle w:val="25"/>
        <w:framePr w:w="9639" w:h="6976" w:hRule="exact" w:hSpace="0" w:vSpace="0" w:wrap="around" w:hAnchor="page" w:y="6408"/>
        <w:jc w:val="center"/>
        <w:rPr>
          <w:rFonts w:hint="eastAsia" w:ascii="黑体" w:hAnsi="黑体" w:eastAsia="黑体"/>
          <w:b w:val="0"/>
          <w:bCs w:val="0"/>
          <w:color w:val="auto"/>
          <w:w w:val="100"/>
        </w:rPr>
      </w:pPr>
    </w:p>
    <w:p w14:paraId="7323B874">
      <w:pPr>
        <w:pStyle w:val="47"/>
        <w:framePr w:h="6974" w:hRule="exact" w:wrap="around" w:x="1419" w:anchorLock="1"/>
        <w:rPr>
          <w:rFonts w:hint="eastAsia"/>
          <w:color w:val="auto"/>
        </w:rPr>
      </w:pPr>
      <w:r>
        <w:rPr>
          <w:rFonts w:hint="eastAsia"/>
          <w:color w:val="auto"/>
        </w:rPr>
        <w:t>轨道车辆转向架悬挂橡胶制品单位产品</w:t>
      </w:r>
    </w:p>
    <w:p w14:paraId="3A75F480">
      <w:pPr>
        <w:pStyle w:val="47"/>
        <w:framePr w:h="6974" w:hRule="exact" w:wrap="around" w:x="1419" w:anchorLock="1"/>
        <w:rPr>
          <w:rFonts w:hint="eastAsia"/>
          <w:color w:val="auto"/>
        </w:rPr>
      </w:pPr>
      <w:bookmarkStart w:id="96" w:name="_GoBack"/>
      <w:bookmarkEnd w:id="96"/>
      <w:r>
        <w:rPr>
          <w:rFonts w:hint="eastAsia"/>
          <w:color w:val="auto"/>
        </w:rPr>
        <w:t>能源消耗限额</w:t>
      </w:r>
    </w:p>
    <w:p w14:paraId="5A31A3A5">
      <w:pPr>
        <w:framePr w:w="9639" w:h="6974" w:hRule="exact" w:wrap="around" w:vAnchor="page" w:hAnchor="page" w:x="1419" w:y="6408" w:anchorLock="1"/>
        <w:ind w:left="-1418"/>
        <w:rPr>
          <w:color w:val="auto"/>
        </w:rPr>
      </w:pPr>
    </w:p>
    <w:p w14:paraId="5FB12F05">
      <w:pPr>
        <w:pStyle w:val="38"/>
        <w:framePr w:w="9639" w:h="6974" w:hRule="exact" w:wrap="around" w:vAnchor="page" w:hAnchor="page" w:x="1419" w:y="6408" w:anchorLock="1"/>
        <w:textAlignment w:val="bottom"/>
        <w:rPr>
          <w:rFonts w:hint="default" w:ascii="Arial" w:hAnsi="Arial" w:eastAsia="黑体" w:cs="Arial"/>
          <w:color w:val="auto"/>
          <w:szCs w:val="28"/>
          <w:lang w:val="en-US" w:eastAsia="zh-CN"/>
        </w:rPr>
      </w:pPr>
      <w:r>
        <w:rPr>
          <w:rFonts w:hint="default" w:ascii="Arial" w:hAnsi="Arial" w:eastAsia="黑体" w:cs="Arial"/>
          <w:color w:val="auto"/>
          <w:szCs w:val="28"/>
        </w:rPr>
        <w:t xml:space="preserve">Norm of energy </w:t>
      </w:r>
      <w:bookmarkStart w:id="7" w:name="_Hlk196729636"/>
      <w:r>
        <w:rPr>
          <w:rFonts w:hint="default" w:ascii="Arial" w:hAnsi="Arial" w:eastAsia="黑体" w:cs="Arial"/>
          <w:color w:val="auto"/>
          <w:szCs w:val="28"/>
        </w:rPr>
        <w:t>consumption</w:t>
      </w:r>
      <w:bookmarkEnd w:id="7"/>
      <w:r>
        <w:rPr>
          <w:rFonts w:hint="default" w:ascii="Arial" w:hAnsi="Arial" w:eastAsia="黑体" w:cs="Arial"/>
          <w:color w:val="auto"/>
          <w:szCs w:val="28"/>
        </w:rPr>
        <w:t xml:space="preserve"> per unit production </w:t>
      </w:r>
      <w:r>
        <w:rPr>
          <w:rFonts w:hint="default" w:ascii="Arial" w:hAnsi="Arial" w:eastAsia="黑体" w:cs="Arial"/>
          <w:color w:val="auto"/>
          <w:szCs w:val="28"/>
          <w:lang w:val="en-US" w:eastAsia="zh-CN"/>
        </w:rPr>
        <w:t>for rubber suspension products of rolling stock bogies</w:t>
      </w:r>
    </w:p>
    <w:p w14:paraId="23121CDE">
      <w:pPr>
        <w:framePr w:w="9639" w:h="6974" w:hRule="exact" w:wrap="around" w:vAnchor="page" w:hAnchor="page" w:x="1419" w:y="6408" w:anchorLock="1"/>
        <w:spacing w:line="760" w:lineRule="exact"/>
        <w:ind w:left="-1418"/>
        <w:rPr>
          <w:rFonts w:hint="eastAsia" w:ascii="宋体" w:hAnsi="宋体" w:eastAsia="宋体" w:cs="宋体"/>
          <w:color w:val="FF0000"/>
        </w:rPr>
      </w:pPr>
      <w:r>
        <w:rPr>
          <w:rFonts w:hint="eastAsia" w:ascii="宋体" w:hAnsi="宋体" w:eastAsia="宋体" w:cs="宋体"/>
          <w:color w:val="FF0000"/>
        </w:rPr>
        <w:t>①</w:t>
      </w:r>
    </w:p>
    <w:p w14:paraId="08EA39C8">
      <w:pPr>
        <w:pStyle w:val="38"/>
        <w:framePr w:w="9639" w:h="6974" w:hRule="exact" w:wrap="around" w:vAnchor="page" w:hAnchor="page" w:x="1419" w:y="6408" w:anchorLock="1"/>
        <w:textAlignment w:val="bottom"/>
        <w:rPr>
          <w:rFonts w:eastAsia="黑体"/>
          <w:color w:val="auto"/>
          <w:szCs w:val="28"/>
        </w:rPr>
      </w:pPr>
      <w:r>
        <w:rPr>
          <w:rFonts w:hint="eastAsia" w:eastAsia="黑体"/>
          <w:color w:val="auto"/>
          <w:szCs w:val="28"/>
        </w:rPr>
        <w:t>（</w:t>
      </w:r>
      <w:r>
        <w:rPr>
          <w:rFonts w:hint="eastAsia" w:eastAsia="黑体"/>
          <w:color w:val="auto"/>
          <w:szCs w:val="28"/>
          <w:lang w:val="en-US" w:eastAsia="zh-CN"/>
        </w:rPr>
        <w:t>征求意见稿</w:t>
      </w:r>
      <w:r>
        <w:rPr>
          <w:rFonts w:hint="eastAsia" w:eastAsia="黑体"/>
          <w:color w:val="auto"/>
          <w:szCs w:val="28"/>
        </w:rPr>
        <w:t>）</w:t>
      </w:r>
    </w:p>
    <w:p w14:paraId="1CB76BED">
      <w:pPr>
        <w:pStyle w:val="38"/>
        <w:framePr w:w="9639" w:h="6974" w:hRule="exact" w:wrap="around" w:vAnchor="page" w:hAnchor="page" w:x="1419" w:y="6408" w:anchorLock="1"/>
        <w:spacing w:before="440" w:after="160"/>
        <w:textAlignment w:val="bottom"/>
        <w:rPr>
          <w:color w:val="auto"/>
          <w:sz w:val="24"/>
          <w:szCs w:val="28"/>
        </w:rPr>
      </w:pPr>
    </w:p>
    <w:p w14:paraId="43B41467">
      <w:pPr>
        <w:pStyle w:val="43"/>
        <w:framePr w:wrap="around" w:y="14176"/>
        <w:rPr>
          <w:color w:val="auto"/>
        </w:rPr>
      </w:pPr>
      <w:r>
        <w:rPr>
          <w:rFonts w:ascii="黑体"/>
          <w:color w:val="auto"/>
        </w:rPr>
        <w:fldChar w:fldCharType="begin">
          <w:ffData>
            <w:name w:val="PLSH_DATE_Y"/>
            <w:enabled/>
            <w:calcOnExit w:val="0"/>
            <w:textInput>
              <w:default w:val="XXXX"/>
              <w:maxLength w:val="4"/>
            </w:textInput>
          </w:ffData>
        </w:fldChar>
      </w:r>
      <w:bookmarkStart w:id="8" w:name="PLSH_DATE_Y"/>
      <w:r>
        <w:rPr>
          <w:rFonts w:ascii="黑体"/>
          <w:color w:val="auto"/>
        </w:rPr>
        <w:instrText xml:space="preserve"> FORMTEXT </w:instrText>
      </w:r>
      <w:r>
        <w:rPr>
          <w:rFonts w:ascii="黑体"/>
          <w:color w:val="auto"/>
        </w:rPr>
        <w:fldChar w:fldCharType="separate"/>
      </w:r>
      <w:r>
        <w:rPr>
          <w:rFonts w:ascii="黑体"/>
          <w:color w:val="auto"/>
        </w:rPr>
        <w:t>XXXX</w:t>
      </w:r>
      <w:r>
        <w:rPr>
          <w:rFonts w:ascii="黑体"/>
          <w:color w:val="auto"/>
        </w:rPr>
        <w:fldChar w:fldCharType="end"/>
      </w:r>
      <w:bookmarkEnd w:id="8"/>
      <w:r>
        <w:rPr>
          <w:rFonts w:ascii="黑体"/>
          <w:color w:val="auto"/>
        </w:rPr>
        <w:t>—</w:t>
      </w:r>
      <w:r>
        <w:rPr>
          <w:rFonts w:ascii="黑体"/>
          <w:color w:val="auto"/>
        </w:rPr>
        <w:fldChar w:fldCharType="begin">
          <w:ffData>
            <w:name w:val="PLSH_DATE_M"/>
            <w:enabled/>
            <w:calcOnExit w:val="0"/>
            <w:textInput>
              <w:default w:val="XX"/>
              <w:maxLength w:val="2"/>
            </w:textInput>
          </w:ffData>
        </w:fldChar>
      </w:r>
      <w:bookmarkStart w:id="9" w:name="PLSH_DATE_M"/>
      <w:r>
        <w:rPr>
          <w:rFonts w:ascii="黑体"/>
          <w:color w:val="auto"/>
        </w:rPr>
        <w:instrText xml:space="preserve"> FORMTEXT </w:instrText>
      </w:r>
      <w:r>
        <w:rPr>
          <w:rFonts w:ascii="黑体"/>
          <w:color w:val="auto"/>
        </w:rPr>
        <w:fldChar w:fldCharType="separate"/>
      </w:r>
      <w:r>
        <w:rPr>
          <w:rFonts w:ascii="黑体"/>
          <w:color w:val="auto"/>
        </w:rPr>
        <w:t>XX</w:t>
      </w:r>
      <w:r>
        <w:rPr>
          <w:rFonts w:ascii="黑体"/>
          <w:color w:val="auto"/>
        </w:rPr>
        <w:fldChar w:fldCharType="end"/>
      </w:r>
      <w:bookmarkEnd w:id="9"/>
      <w:r>
        <w:rPr>
          <w:rFonts w:ascii="黑体"/>
          <w:color w:val="auto"/>
        </w:rPr>
        <w:t>—</w:t>
      </w:r>
      <w:r>
        <w:rPr>
          <w:rFonts w:ascii="黑体"/>
          <w:color w:val="auto"/>
        </w:rPr>
        <w:fldChar w:fldCharType="begin">
          <w:ffData>
            <w:name w:val="PLSH_DATE_D"/>
            <w:enabled/>
            <w:calcOnExit w:val="0"/>
            <w:textInput>
              <w:default w:val="XX"/>
              <w:maxLength w:val="2"/>
            </w:textInput>
          </w:ffData>
        </w:fldChar>
      </w:r>
      <w:bookmarkStart w:id="10" w:name="PLSH_DATE_D"/>
      <w:r>
        <w:rPr>
          <w:rFonts w:ascii="黑体"/>
          <w:color w:val="auto"/>
        </w:rPr>
        <w:instrText xml:space="preserve"> FORMTEXT </w:instrText>
      </w:r>
      <w:r>
        <w:rPr>
          <w:rFonts w:ascii="黑体"/>
          <w:color w:val="auto"/>
        </w:rPr>
        <w:fldChar w:fldCharType="separate"/>
      </w:r>
      <w:r>
        <w:rPr>
          <w:rFonts w:ascii="黑体"/>
          <w:color w:val="auto"/>
        </w:rPr>
        <w:t>XX</w:t>
      </w:r>
      <w:r>
        <w:rPr>
          <w:rFonts w:ascii="黑体"/>
          <w:color w:val="auto"/>
        </w:rPr>
        <w:fldChar w:fldCharType="end"/>
      </w:r>
      <w:bookmarkEnd w:id="10"/>
      <w:r>
        <w:rPr>
          <w:rFonts w:hint="eastAsia"/>
          <w:color w:val="auto"/>
        </w:rPr>
        <w:t>发布</w:t>
      </w:r>
    </w:p>
    <w:p w14:paraId="6E7F7AD2">
      <w:pPr>
        <w:pStyle w:val="44"/>
        <w:framePr w:wrap="around" w:y="14176"/>
        <w:rPr>
          <w:color w:val="auto"/>
        </w:rPr>
      </w:pPr>
      <w:r>
        <w:rPr>
          <w:rFonts w:ascii="黑体"/>
          <w:color w:val="auto"/>
        </w:rPr>
        <w:fldChar w:fldCharType="begin">
          <w:ffData>
            <w:name w:val="CROT_DATE_Y"/>
            <w:enabled/>
            <w:calcOnExit w:val="0"/>
            <w:textInput>
              <w:default w:val="XXXX"/>
              <w:maxLength w:val="4"/>
            </w:textInput>
          </w:ffData>
        </w:fldChar>
      </w:r>
      <w:bookmarkStart w:id="11" w:name="CROT_DATE_Y"/>
      <w:r>
        <w:rPr>
          <w:rFonts w:ascii="黑体"/>
          <w:color w:val="auto"/>
        </w:rPr>
        <w:instrText xml:space="preserve"> FORMTEXT </w:instrText>
      </w:r>
      <w:r>
        <w:rPr>
          <w:rFonts w:ascii="黑体"/>
          <w:color w:val="auto"/>
        </w:rPr>
        <w:fldChar w:fldCharType="separate"/>
      </w:r>
      <w:r>
        <w:rPr>
          <w:rFonts w:ascii="黑体"/>
          <w:color w:val="auto"/>
        </w:rPr>
        <w:t>XXXX</w:t>
      </w:r>
      <w:r>
        <w:rPr>
          <w:rFonts w:ascii="黑体"/>
          <w:color w:val="auto"/>
        </w:rPr>
        <w:fldChar w:fldCharType="end"/>
      </w:r>
      <w:bookmarkEnd w:id="11"/>
      <w:r>
        <w:rPr>
          <w:rFonts w:ascii="黑体"/>
          <w:color w:val="auto"/>
        </w:rPr>
        <w:t>—</w:t>
      </w:r>
      <w:r>
        <w:rPr>
          <w:rFonts w:ascii="黑体"/>
          <w:color w:val="auto"/>
        </w:rPr>
        <w:fldChar w:fldCharType="begin">
          <w:ffData>
            <w:name w:val="CROT_DATE_M"/>
            <w:enabled/>
            <w:calcOnExit w:val="0"/>
            <w:textInput>
              <w:default w:val="XX"/>
              <w:maxLength w:val="2"/>
            </w:textInput>
          </w:ffData>
        </w:fldChar>
      </w:r>
      <w:bookmarkStart w:id="12" w:name="CROT_DATE_M"/>
      <w:r>
        <w:rPr>
          <w:rFonts w:ascii="黑体"/>
          <w:color w:val="auto"/>
        </w:rPr>
        <w:instrText xml:space="preserve"> FORMTEXT </w:instrText>
      </w:r>
      <w:r>
        <w:rPr>
          <w:rFonts w:ascii="黑体"/>
          <w:color w:val="auto"/>
        </w:rPr>
        <w:fldChar w:fldCharType="separate"/>
      </w:r>
      <w:r>
        <w:rPr>
          <w:rFonts w:ascii="黑体"/>
          <w:color w:val="auto"/>
        </w:rPr>
        <w:t>XX</w:t>
      </w:r>
      <w:r>
        <w:rPr>
          <w:rFonts w:ascii="黑体"/>
          <w:color w:val="auto"/>
        </w:rPr>
        <w:fldChar w:fldCharType="end"/>
      </w:r>
      <w:bookmarkEnd w:id="12"/>
      <w:r>
        <w:rPr>
          <w:rFonts w:ascii="黑体"/>
          <w:color w:val="auto"/>
        </w:rPr>
        <w:t>—</w:t>
      </w:r>
      <w:r>
        <w:rPr>
          <w:rFonts w:ascii="黑体"/>
          <w:color w:val="auto"/>
        </w:rPr>
        <w:fldChar w:fldCharType="begin">
          <w:ffData>
            <w:name w:val="CROT_DATE_D"/>
            <w:enabled/>
            <w:calcOnExit w:val="0"/>
            <w:textInput>
              <w:default w:val="XX"/>
              <w:maxLength w:val="2"/>
            </w:textInput>
          </w:ffData>
        </w:fldChar>
      </w:r>
      <w:bookmarkStart w:id="13" w:name="CROT_DATE_D"/>
      <w:r>
        <w:rPr>
          <w:rFonts w:ascii="黑体"/>
          <w:color w:val="auto"/>
        </w:rPr>
        <w:instrText xml:space="preserve"> FORMTEXT </w:instrText>
      </w:r>
      <w:r>
        <w:rPr>
          <w:rFonts w:ascii="黑体"/>
          <w:color w:val="auto"/>
        </w:rPr>
        <w:fldChar w:fldCharType="separate"/>
      </w:r>
      <w:r>
        <w:rPr>
          <w:rFonts w:ascii="黑体"/>
          <w:color w:val="auto"/>
        </w:rPr>
        <w:t>XX</w:t>
      </w:r>
      <w:r>
        <w:rPr>
          <w:rFonts w:ascii="黑体"/>
          <w:color w:val="auto"/>
        </w:rPr>
        <w:fldChar w:fldCharType="end"/>
      </w:r>
      <w:bookmarkEnd w:id="13"/>
      <w:r>
        <w:rPr>
          <w:rFonts w:hint="eastAsia"/>
          <w:color w:val="auto"/>
        </w:rPr>
        <w:t>实施</w:t>
      </w:r>
    </w:p>
    <w:p w14:paraId="2B97CE77">
      <w:pPr>
        <w:pStyle w:val="39"/>
        <w:framePr w:h="584" w:hRule="exact" w:hSpace="181" w:vSpace="181" w:wrap="around" w:y="14800"/>
        <w:rPr>
          <w:rFonts w:hint="eastAsia" w:hAnsi="黑体"/>
          <w:color w:val="auto"/>
        </w:rPr>
      </w:pPr>
      <w:r>
        <w:rPr>
          <w:rFonts w:hint="eastAsia" w:ascii="Times New Roman"/>
          <w:color w:val="auto"/>
          <w:w w:val="100"/>
          <w:sz w:val="28"/>
        </w:rPr>
        <w:t>中国橡胶工业协会</w:t>
      </w:r>
      <w:r>
        <w:rPr>
          <w:rFonts w:ascii="Times New Roman"/>
          <w:color w:val="auto"/>
          <w:w w:val="100"/>
          <w:sz w:val="28"/>
        </w:rPr>
        <w:t>  </w:t>
      </w:r>
      <w:r>
        <w:rPr>
          <w:rStyle w:val="53"/>
          <w:rFonts w:hint="eastAsia" w:hAnsi="黑体"/>
          <w:color w:val="auto"/>
        </w:rPr>
        <w:t>发布</w:t>
      </w:r>
    </w:p>
    <w:bookmarkEnd w:id="6"/>
    <w:p w14:paraId="79D86E96">
      <w:pPr>
        <w:rPr>
          <w:rFonts w:hint="eastAsia" w:ascii="宋体" w:hAnsi="宋体"/>
          <w:color w:val="auto"/>
          <w:sz w:val="28"/>
          <w:szCs w:val="28"/>
        </w:rPr>
        <w:sectPr>
          <w:headerReference r:id="rId5" w:type="first"/>
          <w:footerReference r:id="rId7" w:type="first"/>
          <w:footerReference r:id="rId6" w:type="even"/>
          <w:pgSz w:w="11906" w:h="16838"/>
          <w:pgMar w:top="567" w:right="1134" w:bottom="1134" w:left="1417" w:header="1418" w:footer="1134" w:gutter="283"/>
          <w:cols w:space="0" w:num="1"/>
          <w:docGrid w:linePitch="312" w:charSpace="0"/>
        </w:sectPr>
      </w:pPr>
      <w:r>
        <w:rPr>
          <w:rFonts w:ascii="宋体" w:hAnsi="宋体"/>
          <w:color w:val="auto"/>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KszHPvX&#10;AAAADgEAAA8AAAAAAAAAAQAgAAAAIgAAAGRycy9kb3ducmV2LnhtbFBLAQIUABQAAAAIAIdO4kB3&#10;Ymi56AEAALgDAAAOAAAAAAAAAAEAIAAAACYBAABkcnMvZTJvRG9jLnhtbFBLBQYAAAAABgAGAFkB&#10;AACABQAAAAA=&#10;">
                <v:fill on="f" focussize="0,0"/>
                <v:stroke color="#000000" joinstyle="round"/>
                <v:imagedata o:title=""/>
                <o:lock v:ext="edit" aspectratio="f"/>
                <w10:anchorlock/>
              </v:line>
            </w:pict>
          </mc:Fallback>
        </mc:AlternateContent>
      </w:r>
    </w:p>
    <w:p w14:paraId="7F177C01">
      <w:pPr>
        <w:pStyle w:val="11"/>
        <w:tabs>
          <w:tab w:val="right" w:leader="dot" w:pos="9062"/>
        </w:tabs>
        <w:jc w:val="center"/>
        <w:rPr>
          <w:color w:val="auto"/>
        </w:rPr>
      </w:pPr>
      <w:r>
        <w:rPr>
          <w:rFonts w:hint="eastAsia"/>
          <w:color w:val="auto"/>
          <w:spacing w:val="320"/>
        </w:rPr>
        <w:t>目</w:t>
      </w:r>
      <w:r>
        <w:rPr>
          <w:rFonts w:hint="eastAsia"/>
          <w:color w:val="auto"/>
        </w:rPr>
        <w:t>次</w:t>
      </w:r>
    </w:p>
    <w:sdt>
      <w:sdtPr>
        <w:rPr>
          <w:rFonts w:ascii="宋体" w:hAnsi="宋体" w:eastAsia="宋体" w:cs="Times New Roman"/>
          <w:kern w:val="2"/>
          <w:sz w:val="21"/>
          <w:szCs w:val="21"/>
          <w:lang w:val="en-US" w:eastAsia="zh-CN" w:bidi="ar-SA"/>
        </w:rPr>
        <w:id w:val="147481386"/>
        <w15:color w:val="DBDBDB"/>
        <w:docPartObj>
          <w:docPartGallery w:val="Table of Contents"/>
          <w:docPartUnique/>
        </w:docPartObj>
      </w:sdtPr>
      <w:sdtEndPr>
        <w:rPr>
          <w:rFonts w:ascii="宋体" w:hAnsi="宋体" w:eastAsia="宋体" w:cs="Times New Roman"/>
          <w:kern w:val="2"/>
          <w:sz w:val="21"/>
          <w:szCs w:val="21"/>
          <w:lang w:val="en-US" w:eastAsia="zh-CN" w:bidi="ar-SA"/>
        </w:rPr>
      </w:sdtEndPr>
      <w:sdtContent>
        <w:p w14:paraId="176C1808">
          <w:pPr>
            <w:spacing w:before="0" w:beforeLines="0" w:after="0" w:afterLines="0" w:line="240" w:lineRule="auto"/>
            <w:ind w:left="0" w:leftChars="0" w:right="0" w:rightChars="0" w:firstLine="0" w:firstLineChars="0"/>
            <w:jc w:val="center"/>
          </w:pPr>
        </w:p>
        <w:p w14:paraId="233F002F">
          <w:pPr>
            <w:pStyle w:val="11"/>
            <w:tabs>
              <w:tab w:val="right" w:leader="dot" w:pos="9072"/>
            </w:tabs>
          </w:pPr>
          <w:r>
            <w:fldChar w:fldCharType="begin"/>
          </w:r>
          <w:r>
            <w:instrText xml:space="preserve">TOC \o "1-1" \h \u </w:instrText>
          </w:r>
          <w:r>
            <w:fldChar w:fldCharType="separate"/>
          </w:r>
          <w:r>
            <w:fldChar w:fldCharType="begin"/>
          </w:r>
          <w:r>
            <w:instrText xml:space="preserve"> HYPERLINK \l _Toc23247 </w:instrText>
          </w:r>
          <w:r>
            <w:fldChar w:fldCharType="separate"/>
          </w:r>
          <w:r>
            <w:rPr>
              <w:rFonts w:ascii="黑体" w:hAnsi="黑体" w:eastAsia="黑体"/>
              <w:bCs w:val="0"/>
              <w:kern w:val="2"/>
              <w:szCs w:val="32"/>
            </w:rPr>
            <w:t>前言</w:t>
          </w:r>
          <w:r>
            <w:tab/>
          </w:r>
          <w:r>
            <w:fldChar w:fldCharType="begin"/>
          </w:r>
          <w:r>
            <w:instrText xml:space="preserve"> PAGEREF _Toc23247 \h </w:instrText>
          </w:r>
          <w:r>
            <w:fldChar w:fldCharType="separate"/>
          </w:r>
          <w:r>
            <w:t>II</w:t>
          </w:r>
          <w:r>
            <w:fldChar w:fldCharType="end"/>
          </w:r>
          <w:r>
            <w:fldChar w:fldCharType="end"/>
          </w:r>
        </w:p>
        <w:p w14:paraId="381EF84D">
          <w:pPr>
            <w:pStyle w:val="11"/>
            <w:tabs>
              <w:tab w:val="right" w:leader="dot" w:pos="9072"/>
            </w:tabs>
          </w:pPr>
          <w:r>
            <w:fldChar w:fldCharType="begin"/>
          </w:r>
          <w:r>
            <w:instrText xml:space="preserve"> HYPERLINK \l _Toc19232 </w:instrText>
          </w:r>
          <w:r>
            <w:fldChar w:fldCharType="separate"/>
          </w:r>
          <w:r>
            <w:rPr>
              <w:rFonts w:hint="eastAsia" w:ascii="黑体" w:eastAsia="黑体"/>
              <w:i w:val="0"/>
            </w:rPr>
            <w:t xml:space="preserve">1 </w:t>
          </w:r>
          <w:r>
            <w:rPr>
              <w:rFonts w:hint="eastAsia"/>
            </w:rPr>
            <w:t>范围</w:t>
          </w:r>
          <w:r>
            <w:tab/>
          </w:r>
          <w:r>
            <w:fldChar w:fldCharType="begin"/>
          </w:r>
          <w:r>
            <w:instrText xml:space="preserve"> PAGEREF _Toc19232 \h </w:instrText>
          </w:r>
          <w:r>
            <w:fldChar w:fldCharType="separate"/>
          </w:r>
          <w:r>
            <w:t>1</w:t>
          </w:r>
          <w:r>
            <w:fldChar w:fldCharType="end"/>
          </w:r>
          <w:r>
            <w:fldChar w:fldCharType="end"/>
          </w:r>
        </w:p>
        <w:p w14:paraId="192DD572">
          <w:pPr>
            <w:pStyle w:val="11"/>
            <w:tabs>
              <w:tab w:val="right" w:leader="dot" w:pos="9072"/>
            </w:tabs>
          </w:pPr>
          <w:r>
            <w:fldChar w:fldCharType="begin"/>
          </w:r>
          <w:r>
            <w:instrText xml:space="preserve"> HYPERLINK \l _Toc1137 </w:instrText>
          </w:r>
          <w:r>
            <w:fldChar w:fldCharType="separate"/>
          </w:r>
          <w:r>
            <w:rPr>
              <w:rFonts w:hint="eastAsia" w:ascii="黑体" w:eastAsia="黑体"/>
              <w:i w:val="0"/>
            </w:rPr>
            <w:t xml:space="preserve">2 </w:t>
          </w:r>
          <w:r>
            <w:rPr>
              <w:rFonts w:hint="eastAsia"/>
            </w:rPr>
            <w:t>规范性引用文件</w:t>
          </w:r>
          <w:r>
            <w:tab/>
          </w:r>
          <w:r>
            <w:fldChar w:fldCharType="begin"/>
          </w:r>
          <w:r>
            <w:instrText xml:space="preserve"> PAGEREF _Toc1137 \h </w:instrText>
          </w:r>
          <w:r>
            <w:fldChar w:fldCharType="separate"/>
          </w:r>
          <w:r>
            <w:t>1</w:t>
          </w:r>
          <w:r>
            <w:fldChar w:fldCharType="end"/>
          </w:r>
          <w:r>
            <w:fldChar w:fldCharType="end"/>
          </w:r>
        </w:p>
        <w:p w14:paraId="67E5EFA5">
          <w:pPr>
            <w:pStyle w:val="11"/>
            <w:tabs>
              <w:tab w:val="right" w:leader="dot" w:pos="9072"/>
            </w:tabs>
          </w:pPr>
          <w:r>
            <w:fldChar w:fldCharType="begin"/>
          </w:r>
          <w:r>
            <w:instrText xml:space="preserve"> HYPERLINK \l _Toc32283 </w:instrText>
          </w:r>
          <w:r>
            <w:fldChar w:fldCharType="separate"/>
          </w:r>
          <w:r>
            <w:rPr>
              <w:rFonts w:hint="eastAsia" w:ascii="黑体" w:eastAsia="黑体"/>
              <w:i w:val="0"/>
              <w:szCs w:val="21"/>
            </w:rPr>
            <w:t xml:space="preserve">3 </w:t>
          </w:r>
          <w:r>
            <w:rPr>
              <w:rFonts w:hint="eastAsia"/>
              <w:szCs w:val="21"/>
            </w:rPr>
            <w:t>术语和定义</w:t>
          </w:r>
          <w:r>
            <w:tab/>
          </w:r>
          <w:r>
            <w:fldChar w:fldCharType="begin"/>
          </w:r>
          <w:r>
            <w:instrText xml:space="preserve"> PAGEREF _Toc32283 \h </w:instrText>
          </w:r>
          <w:r>
            <w:fldChar w:fldCharType="separate"/>
          </w:r>
          <w:r>
            <w:t>1</w:t>
          </w:r>
          <w:r>
            <w:fldChar w:fldCharType="end"/>
          </w:r>
          <w:r>
            <w:fldChar w:fldCharType="end"/>
          </w:r>
        </w:p>
        <w:p w14:paraId="1BD61595">
          <w:pPr>
            <w:pStyle w:val="11"/>
            <w:tabs>
              <w:tab w:val="right" w:leader="dot" w:pos="9072"/>
            </w:tabs>
          </w:pPr>
          <w:r>
            <w:fldChar w:fldCharType="begin"/>
          </w:r>
          <w:r>
            <w:instrText xml:space="preserve"> HYPERLINK \l _Toc4855 </w:instrText>
          </w:r>
          <w:r>
            <w:fldChar w:fldCharType="separate"/>
          </w:r>
          <w:r>
            <w:rPr>
              <w:rFonts w:hint="eastAsia" w:ascii="黑体" w:eastAsia="黑体"/>
              <w:i w:val="0"/>
            </w:rPr>
            <w:t xml:space="preserve">4 </w:t>
          </w:r>
          <w:r>
            <w:rPr>
              <w:rFonts w:hint="eastAsia"/>
            </w:rPr>
            <w:t>能耗限额等级</w:t>
          </w:r>
          <w:r>
            <w:tab/>
          </w:r>
          <w:r>
            <w:fldChar w:fldCharType="begin"/>
          </w:r>
          <w:r>
            <w:instrText xml:space="preserve"> PAGEREF _Toc4855 \h </w:instrText>
          </w:r>
          <w:r>
            <w:fldChar w:fldCharType="separate"/>
          </w:r>
          <w:r>
            <w:t>2</w:t>
          </w:r>
          <w:r>
            <w:fldChar w:fldCharType="end"/>
          </w:r>
          <w:r>
            <w:fldChar w:fldCharType="end"/>
          </w:r>
        </w:p>
        <w:p w14:paraId="59AD6529">
          <w:pPr>
            <w:pStyle w:val="11"/>
            <w:tabs>
              <w:tab w:val="right" w:leader="dot" w:pos="9072"/>
            </w:tabs>
          </w:pPr>
          <w:r>
            <w:fldChar w:fldCharType="begin"/>
          </w:r>
          <w:r>
            <w:instrText xml:space="preserve"> HYPERLINK \l _Toc14024 </w:instrText>
          </w:r>
          <w:r>
            <w:fldChar w:fldCharType="separate"/>
          </w:r>
          <w:r>
            <w:rPr>
              <w:rFonts w:hint="eastAsia" w:ascii="黑体" w:eastAsia="黑体"/>
              <w:i w:val="0"/>
            </w:rPr>
            <w:t xml:space="preserve">5 </w:t>
          </w:r>
          <w:r>
            <w:rPr>
              <w:rFonts w:hint="eastAsia"/>
            </w:rPr>
            <w:t>技术要求</w:t>
          </w:r>
          <w:r>
            <w:tab/>
          </w:r>
          <w:r>
            <w:fldChar w:fldCharType="begin"/>
          </w:r>
          <w:r>
            <w:instrText xml:space="preserve"> PAGEREF _Toc14024 \h </w:instrText>
          </w:r>
          <w:r>
            <w:fldChar w:fldCharType="separate"/>
          </w:r>
          <w:r>
            <w:t>2</w:t>
          </w:r>
          <w:r>
            <w:fldChar w:fldCharType="end"/>
          </w:r>
          <w:r>
            <w:fldChar w:fldCharType="end"/>
          </w:r>
        </w:p>
        <w:p w14:paraId="0EEEE45D">
          <w:pPr>
            <w:pStyle w:val="11"/>
            <w:tabs>
              <w:tab w:val="right" w:leader="dot" w:pos="9072"/>
            </w:tabs>
          </w:pPr>
          <w:r>
            <w:fldChar w:fldCharType="begin"/>
          </w:r>
          <w:r>
            <w:instrText xml:space="preserve"> HYPERLINK \l _Toc11353 </w:instrText>
          </w:r>
          <w:r>
            <w:fldChar w:fldCharType="separate"/>
          </w:r>
          <w:r>
            <w:rPr>
              <w:rFonts w:hint="eastAsia" w:ascii="黑体" w:eastAsia="黑体"/>
              <w:i w:val="0"/>
            </w:rPr>
            <w:t xml:space="preserve">6 </w:t>
          </w:r>
          <w:r>
            <w:rPr>
              <w:rFonts w:hint="eastAsia"/>
            </w:rPr>
            <w:t>统计范围和计算方法</w:t>
          </w:r>
          <w:r>
            <w:tab/>
          </w:r>
          <w:r>
            <w:fldChar w:fldCharType="begin"/>
          </w:r>
          <w:r>
            <w:instrText xml:space="preserve"> PAGEREF _Toc11353 \h </w:instrText>
          </w:r>
          <w:r>
            <w:fldChar w:fldCharType="separate"/>
          </w:r>
          <w:r>
            <w:t>3</w:t>
          </w:r>
          <w:r>
            <w:fldChar w:fldCharType="end"/>
          </w:r>
          <w:r>
            <w:fldChar w:fldCharType="end"/>
          </w:r>
        </w:p>
        <w:p w14:paraId="04DE7E7D">
          <w:pPr>
            <w:pStyle w:val="11"/>
            <w:tabs>
              <w:tab w:val="right" w:leader="dot" w:pos="9072"/>
            </w:tabs>
          </w:pPr>
          <w:r>
            <w:fldChar w:fldCharType="begin"/>
          </w:r>
          <w:r>
            <w:instrText xml:space="preserve"> HYPERLINK \l _Toc20493 </w:instrText>
          </w:r>
          <w:r>
            <w:fldChar w:fldCharType="separate"/>
          </w:r>
          <w:r>
            <w:rPr>
              <w:rFonts w:hint="eastAsia" w:ascii="黑体" w:hAnsi="Times New Roman" w:eastAsia="黑体" w:cs="Times New Roman"/>
              <w:bCs w:val="0"/>
              <w:i w:val="0"/>
              <w:kern w:val="0"/>
              <w:szCs w:val="20"/>
            </w:rPr>
            <w:t xml:space="preserve">7 </w:t>
          </w:r>
          <w:r>
            <w:rPr>
              <w:rFonts w:hint="eastAsia" w:cs="Times New Roman"/>
              <w:bCs w:val="0"/>
              <w:kern w:val="0"/>
              <w:szCs w:val="20"/>
              <w:lang w:val="en-US" w:eastAsia="zh-CN"/>
            </w:rPr>
            <w:t>附录</w:t>
          </w:r>
          <w:r>
            <w:tab/>
          </w:r>
          <w:r>
            <w:fldChar w:fldCharType="begin"/>
          </w:r>
          <w:r>
            <w:instrText xml:space="preserve"> PAGEREF _Toc20493 \h </w:instrText>
          </w:r>
          <w:r>
            <w:fldChar w:fldCharType="separate"/>
          </w:r>
          <w:r>
            <w:t>6</w:t>
          </w:r>
          <w:r>
            <w:fldChar w:fldCharType="end"/>
          </w:r>
          <w:r>
            <w:fldChar w:fldCharType="end"/>
          </w:r>
        </w:p>
        <w:p w14:paraId="490F1FE5">
          <w:pPr>
            <w:rPr>
              <w:color w:val="auto"/>
            </w:rPr>
            <w:sectPr>
              <w:headerReference r:id="rId8" w:type="default"/>
              <w:footerReference r:id="rId10" w:type="default"/>
              <w:headerReference r:id="rId9" w:type="even"/>
              <w:pgSz w:w="11906" w:h="16838"/>
              <w:pgMar w:top="1417" w:right="1134" w:bottom="1134" w:left="1417" w:header="1418" w:footer="1134" w:gutter="283"/>
              <w:pgNumType w:fmt="upperRoman" w:start="1"/>
              <w:cols w:space="0" w:num="1"/>
              <w:formProt w:val="0"/>
              <w:docGrid w:linePitch="312" w:charSpace="0"/>
            </w:sectPr>
          </w:pPr>
          <w:r>
            <w:fldChar w:fldCharType="end"/>
          </w:r>
        </w:p>
      </w:sdtContent>
    </w:sdt>
    <w:p w14:paraId="64477885">
      <w:pPr>
        <w:snapToGrid w:val="0"/>
        <w:spacing w:line="240" w:lineRule="auto"/>
        <w:rPr>
          <w:color w:val="auto"/>
          <w:sz w:val="2"/>
          <w:szCs w:val="2"/>
        </w:rPr>
      </w:pPr>
      <w:bookmarkStart w:id="14" w:name="BookMark2"/>
    </w:p>
    <w:p w14:paraId="24E76879">
      <w:pPr>
        <w:pStyle w:val="2"/>
        <w:rPr>
          <w:rFonts w:ascii="黑体" w:hAnsi="黑体" w:eastAsia="黑体"/>
          <w:b w:val="0"/>
          <w:bCs w:val="0"/>
          <w:color w:val="auto"/>
          <w:kern w:val="2"/>
          <w:sz w:val="32"/>
          <w:szCs w:val="32"/>
        </w:rPr>
      </w:pPr>
      <w:bookmarkStart w:id="15" w:name="_Toc23247"/>
      <w:bookmarkStart w:id="16" w:name="_Toc168053911"/>
      <w:bookmarkStart w:id="17" w:name="_Toc26898"/>
      <w:r>
        <w:rPr>
          <w:rFonts w:ascii="黑体" w:hAnsi="黑体" w:eastAsia="黑体"/>
          <w:b w:val="0"/>
          <w:bCs w:val="0"/>
          <w:color w:val="auto"/>
          <w:kern w:val="2"/>
          <w:sz w:val="32"/>
          <w:szCs w:val="32"/>
        </w:rPr>
        <w:t>前言</w:t>
      </w:r>
      <w:bookmarkEnd w:id="15"/>
      <w:bookmarkEnd w:id="16"/>
      <w:bookmarkEnd w:id="17"/>
    </w:p>
    <w:p w14:paraId="5C9FC1D9">
      <w:pPr>
        <w:pStyle w:val="27"/>
        <w:spacing w:line="360" w:lineRule="auto"/>
        <w:ind w:firstLine="420"/>
        <w:rPr>
          <w:color w:val="auto"/>
        </w:rPr>
      </w:pPr>
      <w:r>
        <w:rPr>
          <w:rFonts w:hint="eastAsia"/>
          <w:color w:val="auto"/>
        </w:rPr>
        <w:t>本文件按照GB/T 1.1—2020（标准化工作导则 第</w:t>
      </w:r>
      <w:r>
        <w:rPr>
          <w:rFonts w:hint="eastAsia"/>
          <w:color w:val="auto"/>
          <w:lang w:val="en-US" w:eastAsia="zh-CN"/>
        </w:rPr>
        <w:t>1</w:t>
      </w:r>
      <w:r>
        <w:rPr>
          <w:rFonts w:hint="eastAsia"/>
          <w:color w:val="auto"/>
        </w:rPr>
        <w:t>部分：标准化文件的结构和起草规则）给出的规则起草。</w:t>
      </w:r>
    </w:p>
    <w:p w14:paraId="77DC7E24">
      <w:pPr>
        <w:pStyle w:val="68"/>
        <w:spacing w:line="360" w:lineRule="auto"/>
        <w:rPr>
          <w:rFonts w:ascii="Times New Roman"/>
          <w:color w:val="auto"/>
        </w:rPr>
      </w:pPr>
      <w:r>
        <w:rPr>
          <w:rFonts w:hint="eastAsia"/>
          <w:color w:val="auto"/>
        </w:rPr>
        <w:t>本文件的某些内容可能涉及专利。本文件的发布机构不承担识别这些专利的责任。</w:t>
      </w:r>
    </w:p>
    <w:p w14:paraId="60E022E3">
      <w:pPr>
        <w:pStyle w:val="68"/>
        <w:spacing w:line="360" w:lineRule="auto"/>
        <w:rPr>
          <w:rFonts w:ascii="Times New Roman"/>
          <w:color w:val="auto"/>
        </w:rPr>
      </w:pPr>
      <w:r>
        <w:rPr>
          <w:rFonts w:hint="eastAsia" w:ascii="Times New Roman"/>
          <w:color w:val="auto"/>
        </w:rPr>
        <w:t>本文件</w:t>
      </w:r>
      <w:r>
        <w:rPr>
          <w:rFonts w:ascii="Times New Roman"/>
          <w:color w:val="auto"/>
        </w:rPr>
        <w:t>由中国</w:t>
      </w:r>
      <w:r>
        <w:rPr>
          <w:rFonts w:hint="eastAsia" w:ascii="Times New Roman"/>
          <w:color w:val="auto"/>
        </w:rPr>
        <w:t>橡胶工业协会</w:t>
      </w:r>
      <w:r>
        <w:rPr>
          <w:rFonts w:ascii="Times New Roman"/>
          <w:color w:val="auto"/>
        </w:rPr>
        <w:t>提出</w:t>
      </w:r>
      <w:r>
        <w:rPr>
          <w:rFonts w:hint="eastAsia" w:ascii="Times New Roman"/>
          <w:color w:val="auto"/>
          <w:lang w:val="en-US" w:eastAsia="zh-CN"/>
        </w:rPr>
        <w:t>并归口</w:t>
      </w:r>
      <w:r>
        <w:rPr>
          <w:rFonts w:ascii="Times New Roman"/>
          <w:color w:val="auto"/>
        </w:rPr>
        <w:t>。</w:t>
      </w:r>
    </w:p>
    <w:p w14:paraId="59B73C85">
      <w:pPr>
        <w:widowControl/>
        <w:spacing w:line="360" w:lineRule="auto"/>
        <w:ind w:firstLine="420" w:firstLineChars="200"/>
        <w:textAlignment w:val="center"/>
        <w:rPr>
          <w:rFonts w:ascii="Times New Roman" w:hAnsi="Times New Roman"/>
          <w:color w:val="auto"/>
          <w:kern w:val="0"/>
          <w:szCs w:val="20"/>
        </w:rPr>
      </w:pPr>
      <w:r>
        <w:rPr>
          <w:rFonts w:hint="eastAsia" w:ascii="Times New Roman" w:hAnsi="Times New Roman"/>
          <w:color w:val="auto"/>
          <w:kern w:val="0"/>
          <w:szCs w:val="20"/>
        </w:rPr>
        <w:t>本文件起草单位：株洲时代新材料科技股份有限公司、青岛博锐智远减振科技有限公司、中车株洲电力机车有限公司、中国铁道科学研究院集团有限公司节能环保劳卫研究所</w:t>
      </w:r>
      <w:r>
        <w:rPr>
          <w:rFonts w:hint="eastAsia" w:ascii="Times New Roman" w:hAnsi="Times New Roman"/>
          <w:color w:val="auto"/>
          <w:kern w:val="0"/>
          <w:szCs w:val="20"/>
          <w:lang w:eastAsia="zh-CN"/>
        </w:rPr>
        <w:t>、</w:t>
      </w:r>
      <w:r>
        <w:rPr>
          <w:rFonts w:hint="eastAsia" w:ascii="Times New Roman" w:hAnsi="Times New Roman"/>
          <w:color w:val="auto"/>
          <w:kern w:val="0"/>
          <w:szCs w:val="20"/>
        </w:rPr>
        <w:t>山东易泰轨道交通关键系统有限公司。</w:t>
      </w:r>
    </w:p>
    <w:p w14:paraId="6599A72F">
      <w:pPr>
        <w:pStyle w:val="27"/>
        <w:spacing w:line="360" w:lineRule="auto"/>
        <w:ind w:firstLine="420"/>
        <w:rPr>
          <w:rFonts w:ascii="Times New Roman"/>
          <w:color w:val="auto"/>
        </w:rPr>
      </w:pPr>
      <w:r>
        <w:rPr>
          <w:rFonts w:hint="eastAsia" w:ascii="Times New Roman"/>
          <w:color w:val="auto"/>
        </w:rPr>
        <w:t>本文件主要起草人：</w:t>
      </w:r>
      <w:r>
        <w:rPr>
          <w:rFonts w:hint="eastAsia" w:ascii="Times New Roman"/>
          <w:color w:val="auto"/>
          <w:lang w:val="en-US" w:eastAsia="zh-CN"/>
        </w:rPr>
        <w:t>陈灿辉、童俊、陈文海、张玉祥、郑桂兰、于磊、刘兆栋、刘蕾、杨伟、曹宇静、甄凯、王跃兵、娄俊英</w:t>
      </w:r>
      <w:r>
        <w:rPr>
          <w:rFonts w:hint="eastAsia" w:ascii="Times New Roman"/>
          <w:color w:val="auto"/>
        </w:rPr>
        <w:t>。</w:t>
      </w:r>
    </w:p>
    <w:p w14:paraId="52AFB35A">
      <w:pPr>
        <w:pStyle w:val="27"/>
        <w:spacing w:line="360" w:lineRule="auto"/>
        <w:ind w:firstLine="420"/>
        <w:rPr>
          <w:color w:val="auto"/>
        </w:rPr>
      </w:pPr>
      <w:r>
        <w:rPr>
          <w:rFonts w:hint="eastAsia"/>
          <w:color w:val="auto"/>
        </w:rPr>
        <w:t>本文件</w:t>
      </w:r>
      <w:r>
        <w:rPr>
          <w:rFonts w:hint="eastAsia"/>
          <w:color w:val="auto"/>
          <w:lang w:val="en-US" w:eastAsia="zh-CN"/>
        </w:rPr>
        <w:t>为</w:t>
      </w:r>
      <w:r>
        <w:rPr>
          <w:rFonts w:hint="eastAsia"/>
          <w:color w:val="auto"/>
        </w:rPr>
        <w:t>首次发布。</w:t>
      </w:r>
    </w:p>
    <w:p w14:paraId="39807882">
      <w:pPr>
        <w:pStyle w:val="27"/>
        <w:ind w:firstLine="199" w:firstLineChars="95"/>
        <w:rPr>
          <w:color w:val="auto"/>
        </w:rPr>
        <w:sectPr>
          <w:pgSz w:w="11906" w:h="16838"/>
          <w:pgMar w:top="1417" w:right="1134" w:bottom="1134" w:left="1417" w:header="1418" w:footer="1134" w:gutter="283"/>
          <w:pgNumType w:fmt="upperRoman"/>
          <w:cols w:space="0" w:num="1"/>
          <w:formProt w:val="0"/>
          <w:docGrid w:linePitch="312" w:charSpace="0"/>
        </w:sectPr>
      </w:pPr>
    </w:p>
    <w:bookmarkEnd w:id="14"/>
    <w:p w14:paraId="109BF3E3">
      <w:pPr>
        <w:spacing w:line="20" w:lineRule="exact"/>
        <w:jc w:val="center"/>
        <w:rPr>
          <w:rFonts w:hint="eastAsia" w:ascii="黑体" w:hAnsi="黑体" w:eastAsia="黑体"/>
          <w:color w:val="auto"/>
          <w:sz w:val="32"/>
          <w:szCs w:val="32"/>
        </w:rPr>
      </w:pPr>
      <w:bookmarkStart w:id="18" w:name="BookMark4"/>
    </w:p>
    <w:p w14:paraId="49E80B14">
      <w:pPr>
        <w:spacing w:line="20" w:lineRule="exact"/>
        <w:jc w:val="center"/>
        <w:rPr>
          <w:rFonts w:hint="eastAsia" w:ascii="黑体" w:hAnsi="黑体" w:eastAsia="黑体"/>
          <w:color w:val="auto"/>
          <w:sz w:val="32"/>
          <w:szCs w:val="32"/>
        </w:rPr>
      </w:pPr>
    </w:p>
    <w:sdt>
      <w:sdtPr>
        <w:rPr>
          <w:color w:val="auto"/>
        </w:rPr>
        <w:tag w:val="NEW_STAND_NAME"/>
        <w:id w:val="595910757"/>
        <w:placeholder>
          <w:docPart w:val="AA4200051FB54D44942A687BA6A275D2"/>
        </w:placeholder>
      </w:sdtPr>
      <w:sdtEndPr>
        <w:rPr>
          <w:color w:val="auto"/>
        </w:rPr>
      </w:sdtEndPr>
      <w:sdtContent>
        <w:p w14:paraId="65FDE045">
          <w:pPr>
            <w:pStyle w:val="41"/>
            <w:spacing w:before="851" w:after="680"/>
            <w:rPr>
              <w:rFonts w:hint="eastAsia"/>
              <w:color w:val="auto"/>
            </w:rPr>
          </w:pPr>
          <w:bookmarkStart w:id="19" w:name="NEW_STAND_NAME"/>
          <w:r>
            <w:rPr>
              <w:rFonts w:hint="eastAsia"/>
              <w:color w:val="auto"/>
            </w:rPr>
            <w:t>轨道车辆转向架悬挂橡胶制品单位产品能源消耗限额</w:t>
          </w:r>
        </w:p>
      </w:sdtContent>
    </w:sdt>
    <w:bookmarkEnd w:id="19"/>
    <w:p w14:paraId="5791A762">
      <w:pPr>
        <w:pStyle w:val="35"/>
        <w:spacing w:before="240" w:after="240"/>
        <w:rPr>
          <w:color w:val="auto"/>
        </w:rPr>
      </w:pPr>
      <w:bookmarkStart w:id="20" w:name="_Toc24884218"/>
      <w:bookmarkStart w:id="21" w:name="_Toc24884211"/>
      <w:bookmarkStart w:id="22" w:name="_Toc17233333"/>
      <w:bookmarkStart w:id="23" w:name="_Toc26986771"/>
      <w:bookmarkStart w:id="24" w:name="_Toc95723355"/>
      <w:bookmarkStart w:id="25" w:name="_Toc168053912"/>
      <w:bookmarkStart w:id="26" w:name="_Toc26648465"/>
      <w:bookmarkStart w:id="27" w:name="_Toc17233325"/>
      <w:bookmarkStart w:id="28" w:name="_Toc26718930"/>
      <w:bookmarkStart w:id="29" w:name="_Toc26986530"/>
      <w:bookmarkStart w:id="30" w:name="_Toc19232"/>
      <w:bookmarkStart w:id="31" w:name="_Toc9990"/>
      <w:bookmarkStart w:id="32" w:name="_Toc95920558"/>
      <w:r>
        <w:rPr>
          <w:rFonts w:hint="eastAsia"/>
          <w:color w:val="auto"/>
        </w:rPr>
        <w:t>范围</w:t>
      </w:r>
      <w:bookmarkEnd w:id="20"/>
      <w:bookmarkEnd w:id="21"/>
      <w:bookmarkEnd w:id="22"/>
      <w:bookmarkEnd w:id="23"/>
      <w:bookmarkEnd w:id="24"/>
      <w:bookmarkEnd w:id="25"/>
      <w:bookmarkEnd w:id="26"/>
      <w:bookmarkEnd w:id="27"/>
      <w:bookmarkEnd w:id="28"/>
      <w:bookmarkEnd w:id="29"/>
      <w:bookmarkEnd w:id="30"/>
      <w:bookmarkEnd w:id="31"/>
      <w:bookmarkEnd w:id="32"/>
    </w:p>
    <w:p w14:paraId="09CF3F29">
      <w:pPr>
        <w:pStyle w:val="27"/>
        <w:spacing w:line="360" w:lineRule="auto"/>
        <w:ind w:firstLine="420"/>
        <w:rPr>
          <w:color w:val="auto"/>
        </w:rPr>
      </w:pPr>
      <w:r>
        <w:rPr>
          <w:rFonts w:hint="eastAsia"/>
          <w:color w:val="auto"/>
        </w:rPr>
        <w:t>本文件规定了轨道车辆转向架悬挂橡胶制品单位产品能源消耗限额（简称“能耗”）的技术要求、统计范围和计算方法。</w:t>
      </w:r>
    </w:p>
    <w:p w14:paraId="6EB6B23A">
      <w:pPr>
        <w:pStyle w:val="27"/>
        <w:spacing w:line="360" w:lineRule="auto"/>
        <w:ind w:firstLine="420"/>
        <w:rPr>
          <w:color w:val="auto"/>
        </w:rPr>
      </w:pPr>
      <w:r>
        <w:rPr>
          <w:rFonts w:hint="eastAsia"/>
          <w:color w:val="auto"/>
        </w:rPr>
        <w:t>本文件适用于轨道车辆转向架悬挂橡胶制品生产过程的能耗计算、评价和考核，以及对新、改、扩建项目的能耗控制。</w:t>
      </w:r>
    </w:p>
    <w:p w14:paraId="71E04CF5">
      <w:pPr>
        <w:pStyle w:val="35"/>
        <w:spacing w:before="240" w:after="240"/>
        <w:rPr>
          <w:color w:val="auto"/>
        </w:rPr>
      </w:pPr>
      <w:bookmarkStart w:id="33" w:name="_Toc168053913"/>
      <w:bookmarkStart w:id="34" w:name="_Toc9346"/>
      <w:bookmarkStart w:id="35" w:name="_Toc17233326"/>
      <w:bookmarkStart w:id="36" w:name="_Toc26986772"/>
      <w:bookmarkStart w:id="37" w:name="_Toc17233334"/>
      <w:bookmarkStart w:id="38" w:name="_Toc1137"/>
      <w:bookmarkStart w:id="39" w:name="_Toc26648466"/>
      <w:bookmarkStart w:id="40" w:name="_Toc26718931"/>
      <w:bookmarkStart w:id="41" w:name="_Toc24884219"/>
      <w:bookmarkStart w:id="42" w:name="_Toc26986531"/>
      <w:bookmarkStart w:id="43" w:name="_Toc95920559"/>
      <w:bookmarkStart w:id="44" w:name="_Toc24884212"/>
      <w:bookmarkStart w:id="45" w:name="_Toc95723356"/>
      <w:bookmarkStart w:id="46" w:name="_Hlk112329792"/>
      <w:r>
        <w:rPr>
          <w:rFonts w:hint="eastAsia"/>
          <w:color w:val="auto"/>
        </w:rPr>
        <w:t>规范性引用文件</w:t>
      </w:r>
      <w:bookmarkEnd w:id="33"/>
      <w:bookmarkEnd w:id="34"/>
      <w:bookmarkEnd w:id="35"/>
      <w:bookmarkEnd w:id="36"/>
      <w:bookmarkEnd w:id="37"/>
      <w:bookmarkEnd w:id="38"/>
      <w:bookmarkEnd w:id="39"/>
      <w:bookmarkEnd w:id="40"/>
      <w:bookmarkEnd w:id="41"/>
      <w:bookmarkEnd w:id="42"/>
      <w:bookmarkEnd w:id="43"/>
      <w:bookmarkEnd w:id="44"/>
      <w:bookmarkEnd w:id="45"/>
    </w:p>
    <w:p w14:paraId="44F556CE">
      <w:pPr>
        <w:pStyle w:val="27"/>
        <w:spacing w:line="360" w:lineRule="auto"/>
        <w:ind w:firstLine="420"/>
        <w:rPr>
          <w:color w:val="auto"/>
        </w:rPr>
      </w:pPr>
      <w:r>
        <w:rPr>
          <w:rFonts w:hint="eastAsia"/>
          <w:color w:val="auto"/>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7F1C88A3">
      <w:pPr>
        <w:pStyle w:val="27"/>
        <w:spacing w:line="360" w:lineRule="auto"/>
        <w:ind w:firstLine="420"/>
        <w:rPr>
          <w:rFonts w:hint="eastAsia" w:hAnsi="宋体"/>
          <w:color w:val="auto"/>
        </w:rPr>
      </w:pPr>
      <w:r>
        <w:rPr>
          <w:rFonts w:hint="eastAsia" w:hAnsi="宋体"/>
          <w:color w:val="auto"/>
        </w:rPr>
        <w:t>GB/T 2589 综合能耗计算通则</w:t>
      </w:r>
    </w:p>
    <w:p w14:paraId="26D7DFA0">
      <w:pPr>
        <w:pStyle w:val="27"/>
        <w:spacing w:line="360" w:lineRule="auto"/>
        <w:ind w:firstLine="420"/>
        <w:rPr>
          <w:rFonts w:hint="eastAsia" w:hAnsi="宋体"/>
          <w:color w:val="auto"/>
        </w:rPr>
      </w:pPr>
      <w:r>
        <w:rPr>
          <w:rFonts w:hint="eastAsia" w:hAnsi="宋体"/>
          <w:color w:val="auto"/>
        </w:rPr>
        <w:t>GB/T 12723 单位产品能源消耗限额编制通则</w:t>
      </w:r>
    </w:p>
    <w:p w14:paraId="5BCBE2FE">
      <w:pPr>
        <w:pStyle w:val="27"/>
        <w:spacing w:line="360" w:lineRule="auto"/>
        <w:ind w:firstLine="420"/>
        <w:rPr>
          <w:rFonts w:hint="eastAsia" w:hAnsi="宋体"/>
          <w:color w:val="auto"/>
        </w:rPr>
      </w:pPr>
      <w:r>
        <w:rPr>
          <w:rFonts w:hint="eastAsia" w:hAnsi="宋体"/>
          <w:color w:val="auto"/>
        </w:rPr>
        <w:t>GB/T 9881 橡胶 术语</w:t>
      </w:r>
    </w:p>
    <w:p w14:paraId="549A5693">
      <w:pPr>
        <w:pStyle w:val="27"/>
        <w:spacing w:line="360" w:lineRule="auto"/>
        <w:ind w:firstLine="420"/>
        <w:rPr>
          <w:rFonts w:hint="eastAsia" w:hAnsi="宋体"/>
          <w:color w:val="auto"/>
        </w:rPr>
      </w:pPr>
      <w:r>
        <w:rPr>
          <w:rFonts w:hint="eastAsia" w:hAnsi="宋体"/>
          <w:color w:val="auto"/>
        </w:rPr>
        <w:t>GB 17167 用能单位能源计量器具配备和管理通则</w:t>
      </w:r>
    </w:p>
    <w:p w14:paraId="7F7F7195">
      <w:pPr>
        <w:pStyle w:val="27"/>
        <w:spacing w:line="360" w:lineRule="auto"/>
        <w:ind w:firstLine="420"/>
        <w:rPr>
          <w:rFonts w:hint="eastAsia" w:hAnsi="宋体"/>
          <w:color w:val="auto"/>
        </w:rPr>
      </w:pPr>
      <w:r>
        <w:rPr>
          <w:rFonts w:hint="eastAsia" w:hAnsi="宋体"/>
          <w:color w:val="auto"/>
        </w:rPr>
        <w:t>GB/T 21367 化工企业能源计量器具配备和管理要求</w:t>
      </w:r>
    </w:p>
    <w:p w14:paraId="624157CE">
      <w:pPr>
        <w:pStyle w:val="27"/>
        <w:spacing w:line="360" w:lineRule="auto"/>
        <w:ind w:firstLine="420"/>
        <w:rPr>
          <w:rFonts w:hint="eastAsia" w:hAnsi="宋体"/>
          <w:color w:val="auto"/>
        </w:rPr>
      </w:pPr>
      <w:r>
        <w:rPr>
          <w:rFonts w:hint="eastAsia" w:hAnsi="宋体"/>
          <w:color w:val="auto"/>
        </w:rPr>
        <w:t>GB/T 213 煤的发热量测定方法</w:t>
      </w:r>
    </w:p>
    <w:p w14:paraId="454C339D">
      <w:pPr>
        <w:pStyle w:val="27"/>
        <w:spacing w:line="360" w:lineRule="auto"/>
        <w:ind w:firstLine="420"/>
        <w:rPr>
          <w:rFonts w:hint="eastAsia" w:hAnsi="宋体"/>
          <w:color w:val="auto"/>
        </w:rPr>
      </w:pPr>
      <w:r>
        <w:rPr>
          <w:rFonts w:hint="eastAsia" w:hAnsi="宋体"/>
          <w:color w:val="auto"/>
        </w:rPr>
        <w:t>GB/T 384 石油产品热值测定法</w:t>
      </w:r>
    </w:p>
    <w:p w14:paraId="73018ED4">
      <w:pPr>
        <w:pStyle w:val="27"/>
        <w:spacing w:line="360" w:lineRule="auto"/>
        <w:ind w:firstLine="420"/>
        <w:rPr>
          <w:rFonts w:hint="eastAsia" w:hAnsi="宋体"/>
          <w:color w:val="auto"/>
        </w:rPr>
      </w:pPr>
      <w:r>
        <w:rPr>
          <w:rFonts w:hint="eastAsia" w:hAnsi="宋体"/>
          <w:color w:val="auto"/>
        </w:rPr>
        <w:t>GB/T 12206 城镇燃气热值和相对密度测定方法</w:t>
      </w:r>
    </w:p>
    <w:p w14:paraId="3EB906C4">
      <w:pPr>
        <w:pStyle w:val="27"/>
        <w:spacing w:line="360" w:lineRule="auto"/>
        <w:ind w:firstLine="420"/>
        <w:rPr>
          <w:rFonts w:hint="eastAsia" w:hAnsi="宋体"/>
          <w:color w:val="auto"/>
        </w:rPr>
      </w:pPr>
      <w:r>
        <w:rPr>
          <w:rFonts w:hint="eastAsia" w:hAnsi="宋体"/>
          <w:color w:val="auto"/>
        </w:rPr>
        <w:t>GB/T 30727 固体生物质燃料发热量测定方法</w:t>
      </w:r>
    </w:p>
    <w:bookmarkEnd w:id="46"/>
    <w:p w14:paraId="0E3682BF">
      <w:pPr>
        <w:pStyle w:val="35"/>
        <w:spacing w:before="240" w:after="240"/>
        <w:rPr>
          <w:color w:val="auto"/>
          <w:szCs w:val="21"/>
        </w:rPr>
      </w:pPr>
      <w:bookmarkStart w:id="47" w:name="_Toc27448"/>
      <w:bookmarkStart w:id="48" w:name="_Toc168053914"/>
      <w:bookmarkStart w:id="49" w:name="_Toc95723357"/>
      <w:bookmarkStart w:id="50" w:name="_Toc32283"/>
      <w:bookmarkStart w:id="51" w:name="_Toc95920560"/>
      <w:bookmarkStart w:id="52" w:name="_Hlk112329825"/>
      <w:r>
        <w:rPr>
          <w:rFonts w:hint="eastAsia"/>
          <w:color w:val="auto"/>
          <w:szCs w:val="21"/>
        </w:rPr>
        <w:t>术语和定义</w:t>
      </w:r>
      <w:bookmarkEnd w:id="47"/>
      <w:bookmarkEnd w:id="48"/>
      <w:bookmarkEnd w:id="49"/>
      <w:bookmarkEnd w:id="50"/>
      <w:bookmarkEnd w:id="51"/>
    </w:p>
    <w:sdt>
      <w:sdtPr>
        <w:rPr>
          <w:rFonts w:hint="eastAsia" w:hAnsi="宋体" w:cs="宋体"/>
          <w:color w:val="auto"/>
        </w:rPr>
        <w:id w:val="-1909835108"/>
        <w:placeholder>
          <w:docPart w:val="{a820f640-dd06-415f-8581-63adfab36267}"/>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rFonts w:hint="eastAsia" w:hAnsi="宋体" w:cs="宋体"/>
          <w:color w:val="auto"/>
        </w:rPr>
      </w:sdtEndPr>
      <w:sdtContent>
        <w:p w14:paraId="5C42885E">
          <w:pPr>
            <w:pStyle w:val="27"/>
            <w:spacing w:line="360" w:lineRule="auto"/>
            <w:ind w:firstLine="420"/>
            <w:rPr>
              <w:color w:val="auto"/>
            </w:rPr>
          </w:pPr>
          <w:r>
            <w:rPr>
              <w:rFonts w:hint="eastAsia" w:hAnsi="宋体" w:cs="宋体"/>
              <w:color w:val="auto"/>
            </w:rPr>
            <w:t>GB/T 2589、GB/T 12723、</w:t>
          </w:r>
          <w:r>
            <w:rPr>
              <w:rFonts w:hAnsi="宋体" w:cs="宋体"/>
              <w:color w:val="auto"/>
            </w:rPr>
            <w:t>GB/T</w:t>
          </w:r>
          <w:r>
            <w:rPr>
              <w:rFonts w:hint="eastAsia" w:hAnsi="宋体" w:cs="宋体"/>
              <w:color w:val="auto"/>
            </w:rPr>
            <w:t xml:space="preserve"> 9</w:t>
          </w:r>
          <w:r>
            <w:rPr>
              <w:rFonts w:hAnsi="宋体" w:cs="宋体"/>
              <w:color w:val="auto"/>
            </w:rPr>
            <w:t>881</w:t>
          </w:r>
          <w:r>
            <w:rPr>
              <w:rFonts w:hint="eastAsia" w:hAnsi="宋体" w:cs="宋体"/>
              <w:color w:val="auto"/>
            </w:rPr>
            <w:t>界定的以及下列术语和定义适用于本文件。</w:t>
          </w:r>
        </w:p>
      </w:sdtContent>
    </w:sdt>
    <w:p w14:paraId="3A9E8ECC">
      <w:pPr>
        <w:pStyle w:val="27"/>
        <w:spacing w:line="360" w:lineRule="auto"/>
        <w:ind w:firstLine="0" w:firstLineChars="0"/>
        <w:rPr>
          <w:b/>
          <w:color w:val="auto"/>
        </w:rPr>
      </w:pPr>
      <w:r>
        <w:rPr>
          <w:rFonts w:hint="eastAsia" w:ascii="黑体" w:hAnsi="黑体" w:eastAsia="黑体"/>
          <w:color w:val="auto"/>
        </w:rPr>
        <w:t xml:space="preserve">3.1 轨道车辆转向架悬挂橡胶制品 </w:t>
      </w:r>
      <w:r>
        <w:rPr>
          <w:rFonts w:ascii="黑体" w:hAnsi="黑体" w:eastAsia="黑体"/>
          <w:color w:val="auto"/>
        </w:rPr>
        <w:t xml:space="preserve">Rubber products for the suspension of </w:t>
      </w:r>
      <w:r>
        <w:rPr>
          <w:rFonts w:hint="eastAsia" w:ascii="黑体" w:hAnsi="黑体" w:eastAsia="黑体"/>
          <w:color w:val="auto"/>
        </w:rPr>
        <w:t>rolling stock</w:t>
      </w:r>
      <w:r>
        <w:rPr>
          <w:rFonts w:ascii="黑体" w:hAnsi="黑体" w:eastAsia="黑体"/>
          <w:color w:val="auto"/>
        </w:rPr>
        <w:t xml:space="preserve"> bogies</w:t>
      </w:r>
    </w:p>
    <w:p w14:paraId="4FF4A535">
      <w:pPr>
        <w:pStyle w:val="27"/>
        <w:spacing w:line="360" w:lineRule="auto"/>
        <w:ind w:firstLine="420"/>
      </w:pPr>
      <w:r>
        <w:rPr>
          <w:rFonts w:hint="eastAsia"/>
        </w:rPr>
        <w:t>是指装配于转向架一系及二系悬挂、轴箱定位、牵引与限位部位，由橡胶</w:t>
      </w:r>
      <w:r>
        <w:rPr>
          <w:rFonts w:hint="eastAsia"/>
          <w:lang w:eastAsia="zh-CN"/>
        </w:rPr>
        <w:t>、</w:t>
      </w:r>
      <w:r>
        <w:rPr>
          <w:rFonts w:hint="eastAsia"/>
          <w:lang w:val="en-US" w:eastAsia="zh-CN"/>
        </w:rPr>
        <w:t>纤维和</w:t>
      </w:r>
      <w:r>
        <w:rPr>
          <w:rFonts w:hint="eastAsia"/>
        </w:rPr>
        <w:t>金属</w:t>
      </w:r>
      <w:r>
        <w:rPr>
          <w:rFonts w:hint="eastAsia"/>
          <w:lang w:val="en-US" w:eastAsia="zh-CN"/>
        </w:rPr>
        <w:t>骨架</w:t>
      </w:r>
      <w:r>
        <w:rPr>
          <w:rFonts w:hint="eastAsia"/>
        </w:rPr>
        <w:t>等构件复合制成的弹性元件；通过在多向载荷下产生受控弹性变形，实现载荷传递、振动隔离、冲击缓冲、位移限制及曲线通过性能调节，是转向架悬挂系统的关键功能件</w:t>
      </w:r>
      <w:r>
        <w:rPr>
          <w:rFonts w:hint="eastAsia"/>
          <w:lang w:eastAsia="zh-CN"/>
        </w:rPr>
        <w:t>。</w:t>
      </w:r>
      <w:bookmarkStart w:id="53" w:name="_Toc168053915"/>
    </w:p>
    <w:p w14:paraId="6B2E9282">
      <w:pPr>
        <w:spacing w:line="360" w:lineRule="auto"/>
        <w:rPr>
          <w:rFonts w:hint="eastAsia" w:ascii="黑体" w:hAnsi="黑体" w:eastAsia="黑体"/>
          <w:color w:val="auto"/>
          <w:kern w:val="0"/>
          <w:szCs w:val="20"/>
        </w:rPr>
      </w:pPr>
      <w:r>
        <w:rPr>
          <w:rFonts w:hint="eastAsia" w:ascii="黑体" w:hAnsi="黑体" w:eastAsia="黑体"/>
          <w:color w:val="auto"/>
          <w:kern w:val="0"/>
          <w:szCs w:val="20"/>
        </w:rPr>
        <w:t>3.2</w:t>
      </w:r>
      <w:r>
        <w:rPr>
          <w:rFonts w:ascii="黑体" w:hAnsi="黑体" w:eastAsia="黑体"/>
          <w:color w:val="auto"/>
          <w:kern w:val="0"/>
          <w:szCs w:val="20"/>
        </w:rPr>
        <w:t xml:space="preserve"> </w:t>
      </w:r>
      <w:r>
        <w:rPr>
          <w:rFonts w:hint="eastAsia" w:ascii="黑体" w:hAnsi="黑体" w:eastAsia="黑体"/>
          <w:color w:val="auto"/>
          <w:kern w:val="0"/>
          <w:szCs w:val="20"/>
        </w:rPr>
        <w:t xml:space="preserve">轨道车辆转向架悬挂橡胶制品综合能耗 </w:t>
      </w:r>
      <w:r>
        <w:rPr>
          <w:rFonts w:ascii="黑体" w:hAnsi="黑体" w:eastAsia="黑体"/>
          <w:color w:val="auto"/>
          <w:kern w:val="0"/>
          <w:szCs w:val="20"/>
        </w:rPr>
        <w:t xml:space="preserve">Comprehensive energy consumption of rubber products for the suspension of </w:t>
      </w:r>
      <w:r>
        <w:rPr>
          <w:rFonts w:hint="eastAsia" w:ascii="黑体" w:hAnsi="黑体" w:eastAsia="黑体"/>
          <w:color w:val="auto"/>
        </w:rPr>
        <w:t>rolling stock</w:t>
      </w:r>
      <w:r>
        <w:rPr>
          <w:rFonts w:ascii="黑体" w:hAnsi="黑体" w:eastAsia="黑体"/>
          <w:color w:val="auto"/>
          <w:kern w:val="0"/>
          <w:szCs w:val="20"/>
        </w:rPr>
        <w:t xml:space="preserve"> bogies</w:t>
      </w:r>
    </w:p>
    <w:p w14:paraId="74B76402">
      <w:pPr>
        <w:pStyle w:val="27"/>
        <w:spacing w:line="360" w:lineRule="auto"/>
        <w:ind w:firstLine="420"/>
      </w:pPr>
      <w:r>
        <w:t>报告期内，单件合格轨道车辆转向架悬挂橡胶制品，在生产</w:t>
      </w:r>
      <w:r>
        <w:rPr>
          <w:rFonts w:hint="eastAsia"/>
          <w:lang w:val="en-US" w:eastAsia="zh-CN"/>
        </w:rPr>
        <w:t>过</w:t>
      </w:r>
      <w:r>
        <w:t>程中直接生产</w:t>
      </w:r>
      <w:r>
        <w:rPr>
          <w:rFonts w:hint="eastAsia"/>
          <w:lang w:eastAsia="zh-CN"/>
        </w:rPr>
        <w:t>、</w:t>
      </w:r>
      <w:r>
        <w:rPr>
          <w:rFonts w:hint="eastAsia"/>
          <w:lang w:val="en-US" w:eastAsia="zh-CN"/>
        </w:rPr>
        <w:t>辅助生产和附属生产系统实际消耗的能源总量</w:t>
      </w:r>
      <w:r>
        <w:t>扣除产品生产过程中回收利用的余热、余压、余能</w:t>
      </w:r>
      <w:r>
        <w:rPr>
          <w:rFonts w:hint="eastAsia"/>
          <w:lang w:val="en-US" w:eastAsia="zh-CN"/>
        </w:rPr>
        <w:t>后</w:t>
      </w:r>
      <w:r>
        <w:t>，</w:t>
      </w:r>
      <w:r>
        <w:rPr>
          <w:rFonts w:hint="eastAsia"/>
        </w:rPr>
        <w:t>累加总能耗净值，单位为千克标准煤（kgce）。</w:t>
      </w:r>
    </w:p>
    <w:p w14:paraId="421EE716">
      <w:pPr>
        <w:pStyle w:val="27"/>
        <w:spacing w:line="360" w:lineRule="auto"/>
        <w:ind w:firstLine="0" w:firstLineChars="0"/>
        <w:jc w:val="left"/>
        <w:rPr>
          <w:rFonts w:hint="eastAsia" w:ascii="黑体" w:hAnsi="黑体" w:eastAsia="黑体"/>
          <w:color w:val="auto"/>
        </w:rPr>
      </w:pPr>
      <w:r>
        <w:rPr>
          <w:rFonts w:hint="eastAsia" w:ascii="黑体" w:hAnsi="黑体" w:eastAsia="黑体"/>
          <w:color w:val="auto"/>
        </w:rPr>
        <w:t>3.3</w:t>
      </w:r>
      <w:r>
        <w:rPr>
          <w:rFonts w:ascii="黑体" w:hAnsi="黑体" w:eastAsia="黑体"/>
          <w:color w:val="auto"/>
        </w:rPr>
        <w:t xml:space="preserve"> </w:t>
      </w:r>
      <w:r>
        <w:rPr>
          <w:rFonts w:hint="eastAsia" w:ascii="黑体" w:hAnsi="黑体" w:eastAsia="黑体"/>
          <w:color w:val="auto"/>
        </w:rPr>
        <w:t xml:space="preserve">轨道车辆转向架悬挂橡胶制品单位产品能耗 </w:t>
      </w:r>
      <w:r>
        <w:rPr>
          <w:rFonts w:ascii="黑体" w:hAnsi="黑体" w:eastAsia="黑体"/>
          <w:color w:val="auto"/>
        </w:rPr>
        <w:t xml:space="preserve">Energy consumption per unit product of rubber products for the suspension of </w:t>
      </w:r>
      <w:r>
        <w:rPr>
          <w:rFonts w:hint="eastAsia" w:ascii="黑体" w:hAnsi="黑体" w:eastAsia="黑体"/>
          <w:color w:val="auto"/>
        </w:rPr>
        <w:t>rolling stock</w:t>
      </w:r>
      <w:r>
        <w:rPr>
          <w:rFonts w:ascii="黑体" w:hAnsi="黑体" w:eastAsia="黑体"/>
          <w:color w:val="auto"/>
        </w:rPr>
        <w:t xml:space="preserve"> bogies</w:t>
      </w:r>
    </w:p>
    <w:p w14:paraId="39B05D2E">
      <w:pPr>
        <w:pStyle w:val="27"/>
        <w:spacing w:line="360" w:lineRule="auto"/>
        <w:ind w:firstLine="420"/>
        <w:rPr>
          <w:color w:val="auto"/>
        </w:rPr>
      </w:pPr>
      <w:r>
        <w:t>单件合格轨道车辆转向架悬挂橡胶制品综合能耗与该产品净重的比值，单位为千克标准煤每</w:t>
      </w:r>
      <w:r>
        <w:rPr>
          <w:rFonts w:hint="eastAsia"/>
          <w:lang w:val="en-US" w:eastAsia="zh-CN"/>
        </w:rPr>
        <w:t>吨</w:t>
      </w:r>
      <w:r>
        <w:t>（kgce/</w:t>
      </w:r>
      <w:r>
        <w:rPr>
          <w:rFonts w:hint="eastAsia"/>
          <w:lang w:val="en-US" w:eastAsia="zh-CN"/>
        </w:rPr>
        <w:t>t</w:t>
      </w:r>
      <w:r>
        <w:t>），是评价产品能效水平的核心指标。</w:t>
      </w:r>
    </w:p>
    <w:p w14:paraId="39B785A9">
      <w:pPr>
        <w:pStyle w:val="27"/>
        <w:spacing w:line="360" w:lineRule="auto"/>
        <w:ind w:firstLine="0" w:firstLineChars="0"/>
        <w:jc w:val="left"/>
        <w:rPr>
          <w:rFonts w:hint="eastAsia" w:ascii="黑体" w:hAnsi="黑体" w:eastAsia="黑体"/>
          <w:color w:val="auto"/>
          <w:highlight w:val="none"/>
        </w:rPr>
      </w:pPr>
      <w:r>
        <w:rPr>
          <w:rFonts w:hint="eastAsia" w:ascii="黑体" w:hAnsi="黑体" w:eastAsia="黑体"/>
          <w:color w:val="auto"/>
        </w:rPr>
        <w:t>3.4</w:t>
      </w:r>
      <w:r>
        <w:rPr>
          <w:rFonts w:hint="eastAsia" w:ascii="黑体" w:hAnsi="黑体" w:eastAsia="黑体"/>
          <w:color w:val="auto"/>
          <w:highlight w:val="none"/>
        </w:rPr>
        <w:t xml:space="preserve"> </w:t>
      </w:r>
      <w:r>
        <w:rPr>
          <w:rFonts w:hint="eastAsia" w:ascii="黑体" w:hAnsi="黑体" w:eastAsia="黑体"/>
          <w:color w:val="auto"/>
          <w:highlight w:val="none"/>
          <w:lang w:eastAsia="zh-CN"/>
        </w:rPr>
        <w:t>时间相关型</w:t>
      </w:r>
      <w:r>
        <w:rPr>
          <w:rFonts w:hint="eastAsia" w:ascii="黑体" w:hAnsi="黑体" w:eastAsia="黑体"/>
          <w:color w:val="auto"/>
          <w:highlight w:val="none"/>
        </w:rPr>
        <w:t>工序能耗 Time-related process energy consumption</w:t>
      </w:r>
    </w:p>
    <w:p w14:paraId="1C65B1EA">
      <w:pPr>
        <w:pStyle w:val="27"/>
        <w:spacing w:line="360" w:lineRule="auto"/>
        <w:ind w:firstLine="420"/>
        <w:rPr>
          <w:color w:val="auto"/>
          <w:highlight w:val="none"/>
        </w:rPr>
      </w:pPr>
      <w:r>
        <w:rPr>
          <w:highlight w:val="none"/>
        </w:rPr>
        <w:t>能耗与工艺加工时长强相关、与产品重量无直接关联的工序能耗。主要包括金属件脱脂、产品硫化及配套蒸汽、天然气等工序能耗，按单位时间能耗结合单件产品工艺加工时长核算。</w:t>
      </w:r>
    </w:p>
    <w:p w14:paraId="0AD1B126">
      <w:pPr>
        <w:pStyle w:val="27"/>
        <w:spacing w:line="360" w:lineRule="auto"/>
        <w:ind w:firstLine="0" w:firstLineChars="0"/>
        <w:jc w:val="left"/>
        <w:rPr>
          <w:rFonts w:hint="eastAsia" w:ascii="黑体" w:hAnsi="黑体" w:eastAsia="黑体"/>
          <w:color w:val="auto"/>
          <w:highlight w:val="none"/>
        </w:rPr>
      </w:pPr>
      <w:r>
        <w:rPr>
          <w:rFonts w:hint="eastAsia" w:ascii="黑体" w:hAnsi="黑体" w:eastAsia="黑体"/>
          <w:color w:val="auto"/>
          <w:highlight w:val="none"/>
        </w:rPr>
        <w:t xml:space="preserve">3.5 </w:t>
      </w:r>
      <w:r>
        <w:rPr>
          <w:rFonts w:hint="eastAsia" w:ascii="黑体" w:hAnsi="黑体" w:eastAsia="黑体"/>
          <w:color w:val="auto"/>
          <w:highlight w:val="none"/>
          <w:lang w:eastAsia="zh-CN"/>
        </w:rPr>
        <w:t>重量相关型</w:t>
      </w:r>
      <w:r>
        <w:rPr>
          <w:rFonts w:hint="eastAsia" w:ascii="黑体" w:hAnsi="黑体" w:eastAsia="黑体"/>
          <w:color w:val="auto"/>
          <w:highlight w:val="none"/>
        </w:rPr>
        <w:t xml:space="preserve">工序能耗 </w:t>
      </w:r>
      <w:r>
        <w:rPr>
          <w:rFonts w:hint="eastAsia" w:ascii="黑体" w:hAnsi="黑体" w:eastAsia="黑体"/>
          <w:color w:val="auto"/>
          <w:highlight w:val="none"/>
          <w:lang w:val="en-US" w:eastAsia="zh-CN"/>
        </w:rPr>
        <w:t>W</w:t>
      </w:r>
      <w:r>
        <w:rPr>
          <w:rFonts w:hint="eastAsia" w:ascii="黑体" w:hAnsi="黑体" w:eastAsia="黑体"/>
          <w:color w:val="auto"/>
          <w:highlight w:val="none"/>
        </w:rPr>
        <w:t>eight-related process energy consumption</w:t>
      </w:r>
    </w:p>
    <w:p w14:paraId="1A958C41">
      <w:pPr>
        <w:pStyle w:val="27"/>
        <w:spacing w:line="360" w:lineRule="auto"/>
        <w:ind w:firstLine="420"/>
        <w:rPr>
          <w:color w:val="auto"/>
          <w:highlight w:val="none"/>
        </w:rPr>
      </w:pPr>
      <w:r>
        <w:rPr>
          <w:highlight w:val="none"/>
        </w:rPr>
        <w:t>能耗与橡胶投料重量强相关、与生产时长无固定关联的工序能耗。主要包括炼胶、</w:t>
      </w:r>
      <w:r>
        <w:rPr>
          <w:rFonts w:hint="eastAsia"/>
          <w:highlight w:val="none"/>
          <w:lang w:val="en-US" w:eastAsia="zh-CN"/>
        </w:rPr>
        <w:t>胶料出片等</w:t>
      </w:r>
      <w:r>
        <w:rPr>
          <w:highlight w:val="none"/>
        </w:rPr>
        <w:t>工序能耗，按单位胶料重量能耗结合单件产品对应投料量核算。</w:t>
      </w:r>
    </w:p>
    <w:p w14:paraId="5168918F">
      <w:pPr>
        <w:pStyle w:val="27"/>
        <w:spacing w:line="360" w:lineRule="auto"/>
        <w:ind w:firstLine="0" w:firstLineChars="0"/>
        <w:jc w:val="left"/>
        <w:rPr>
          <w:rFonts w:hint="eastAsia" w:ascii="黑体" w:hAnsi="黑体" w:eastAsia="黑体"/>
          <w:color w:val="auto"/>
          <w:highlight w:val="none"/>
        </w:rPr>
      </w:pPr>
      <w:r>
        <w:rPr>
          <w:rFonts w:hint="eastAsia" w:ascii="黑体" w:hAnsi="黑体" w:eastAsia="黑体"/>
          <w:color w:val="auto"/>
          <w:highlight w:val="none"/>
        </w:rPr>
        <w:t>3.6 均摊型</w:t>
      </w:r>
      <w:r>
        <w:rPr>
          <w:rFonts w:hint="eastAsia" w:ascii="黑体" w:hAnsi="黑体" w:eastAsia="黑体"/>
          <w:color w:val="auto"/>
          <w:highlight w:val="none"/>
          <w:lang w:val="en-US" w:eastAsia="zh-CN"/>
        </w:rPr>
        <w:t>工序</w:t>
      </w:r>
      <w:r>
        <w:rPr>
          <w:rFonts w:hint="eastAsia" w:ascii="黑体" w:hAnsi="黑体" w:eastAsia="黑体"/>
          <w:color w:val="auto"/>
          <w:highlight w:val="none"/>
        </w:rPr>
        <w:t xml:space="preserve">能耗 </w:t>
      </w:r>
      <w:r>
        <w:rPr>
          <w:rFonts w:hint="eastAsia" w:ascii="黑体" w:hAnsi="黑体" w:eastAsia="黑体"/>
          <w:color w:val="auto"/>
          <w:highlight w:val="none"/>
          <w:lang w:val="en-US" w:eastAsia="zh-CN"/>
        </w:rPr>
        <w:t>A</w:t>
      </w:r>
      <w:r>
        <w:rPr>
          <w:rFonts w:hint="eastAsia" w:ascii="黑体" w:hAnsi="黑体" w:eastAsia="黑体"/>
          <w:color w:val="auto"/>
          <w:highlight w:val="none"/>
        </w:rPr>
        <w:t>llocated process energy consumption</w:t>
      </w:r>
    </w:p>
    <w:p w14:paraId="40FF131D">
      <w:pPr>
        <w:pStyle w:val="27"/>
        <w:spacing w:line="360" w:lineRule="auto"/>
        <w:ind w:firstLine="420"/>
      </w:pPr>
      <w:r>
        <w:t>无明显时间、重量关联的公共辅助、附属能耗。主要包括修边、检测等工序能耗，以及空压站、制冷站、锅炉房等辅助附属设施能耗，按统计时段总能耗平均分摊至时段内所有合格产品。</w:t>
      </w:r>
    </w:p>
    <w:p w14:paraId="26EA71B6">
      <w:pPr>
        <w:pStyle w:val="27"/>
        <w:spacing w:line="360" w:lineRule="auto"/>
        <w:ind w:firstLine="0" w:firstLineChars="0"/>
        <w:jc w:val="left"/>
        <w:rPr>
          <w:rFonts w:hint="eastAsia" w:ascii="黑体" w:hAnsi="黑体" w:eastAsia="黑体"/>
          <w:color w:val="auto"/>
          <w:highlight w:val="none"/>
        </w:rPr>
      </w:pPr>
      <w:r>
        <w:rPr>
          <w:rFonts w:hint="eastAsia" w:ascii="黑体" w:hAnsi="黑体" w:eastAsia="黑体"/>
          <w:color w:val="auto"/>
          <w:highlight w:val="none"/>
        </w:rPr>
        <w:t>3.</w:t>
      </w:r>
      <w:r>
        <w:rPr>
          <w:rFonts w:hint="eastAsia" w:ascii="黑体" w:hAnsi="黑体" w:eastAsia="黑体"/>
          <w:color w:val="auto"/>
          <w:highlight w:val="none"/>
          <w:lang w:val="en-US" w:eastAsia="zh-CN"/>
        </w:rPr>
        <w:t>7</w:t>
      </w:r>
      <w:r>
        <w:rPr>
          <w:rFonts w:hint="eastAsia" w:ascii="黑体" w:hAnsi="黑体" w:eastAsia="黑体"/>
          <w:color w:val="auto"/>
          <w:highlight w:val="none"/>
        </w:rPr>
        <w:t xml:space="preserve"> </w:t>
      </w:r>
      <w:r>
        <w:rPr>
          <w:rFonts w:hint="eastAsia" w:ascii="黑体" w:hAnsi="黑体" w:eastAsia="黑体"/>
          <w:color w:val="auto"/>
          <w:highlight w:val="none"/>
          <w:lang w:val="en-US" w:eastAsia="zh-CN"/>
        </w:rPr>
        <w:t>一次能源</w:t>
      </w:r>
      <w:r>
        <w:rPr>
          <w:rFonts w:hint="eastAsia" w:ascii="黑体" w:hAnsi="黑体" w:eastAsia="黑体"/>
          <w:color w:val="auto"/>
          <w:highlight w:val="none"/>
        </w:rPr>
        <w:t xml:space="preserve"> </w:t>
      </w:r>
      <w:r>
        <w:rPr>
          <w:rFonts w:hint="eastAsia" w:ascii="黑体" w:hAnsi="黑体" w:eastAsia="黑体"/>
          <w:color w:val="auto"/>
          <w:highlight w:val="none"/>
          <w:lang w:val="en-US" w:eastAsia="zh-CN"/>
        </w:rPr>
        <w:t>P</w:t>
      </w:r>
      <w:r>
        <w:rPr>
          <w:rFonts w:hint="eastAsia" w:ascii="黑体" w:hAnsi="黑体" w:eastAsia="黑体"/>
          <w:color w:val="auto"/>
          <w:highlight w:val="none"/>
        </w:rPr>
        <w:t>rimary energy</w:t>
      </w:r>
    </w:p>
    <w:p w14:paraId="33C9A88F">
      <w:pPr>
        <w:pStyle w:val="27"/>
        <w:spacing w:line="360" w:lineRule="auto"/>
        <w:ind w:firstLine="420"/>
        <w:rPr>
          <w:rFonts w:hint="eastAsia"/>
          <w:highlight w:val="none"/>
        </w:rPr>
      </w:pPr>
      <w:r>
        <w:rPr>
          <w:rFonts w:hint="eastAsia"/>
          <w:highlight w:val="none"/>
        </w:rPr>
        <w:t>从自然界直接取得，未经加工或转换的能源。</w:t>
      </w:r>
    </w:p>
    <w:p w14:paraId="72A387F7">
      <w:pPr>
        <w:pStyle w:val="27"/>
        <w:spacing w:line="360" w:lineRule="auto"/>
        <w:ind w:firstLine="420"/>
        <w:rPr>
          <w:color w:val="auto"/>
          <w:highlight w:val="none"/>
        </w:rPr>
      </w:pPr>
      <w:r>
        <w:rPr>
          <w:rFonts w:hint="eastAsia"/>
          <w:highlight w:val="none"/>
        </w:rPr>
        <w:t>注：本</w:t>
      </w:r>
      <w:r>
        <w:rPr>
          <w:rFonts w:hint="eastAsia"/>
          <w:highlight w:val="none"/>
          <w:lang w:val="en-US" w:eastAsia="zh-CN"/>
        </w:rPr>
        <w:t>文件</w:t>
      </w:r>
      <w:r>
        <w:rPr>
          <w:rFonts w:hint="eastAsia"/>
          <w:highlight w:val="none"/>
        </w:rPr>
        <w:t>涉及的一次能源主要包括原煤、天然气、固体生物质燃料等</w:t>
      </w:r>
      <w:r>
        <w:rPr>
          <w:highlight w:val="none"/>
        </w:rPr>
        <w:t>。</w:t>
      </w:r>
    </w:p>
    <w:p w14:paraId="3C006CF7">
      <w:pPr>
        <w:pStyle w:val="27"/>
        <w:spacing w:line="360" w:lineRule="auto"/>
        <w:ind w:firstLine="0" w:firstLineChars="0"/>
        <w:jc w:val="left"/>
        <w:rPr>
          <w:rFonts w:hint="eastAsia" w:ascii="黑体" w:hAnsi="黑体" w:eastAsia="黑体"/>
          <w:color w:val="auto"/>
          <w:highlight w:val="none"/>
        </w:rPr>
      </w:pPr>
      <w:r>
        <w:rPr>
          <w:rFonts w:hint="eastAsia" w:ascii="黑体" w:hAnsi="黑体" w:eastAsia="黑体"/>
          <w:color w:val="auto"/>
          <w:highlight w:val="none"/>
        </w:rPr>
        <w:t>3.</w:t>
      </w:r>
      <w:r>
        <w:rPr>
          <w:rFonts w:hint="eastAsia" w:ascii="黑体" w:hAnsi="黑体" w:eastAsia="黑体"/>
          <w:color w:val="auto"/>
          <w:highlight w:val="none"/>
          <w:lang w:val="en-US" w:eastAsia="zh-CN"/>
        </w:rPr>
        <w:t>8</w:t>
      </w:r>
      <w:r>
        <w:rPr>
          <w:rFonts w:hint="eastAsia" w:ascii="黑体" w:hAnsi="黑体" w:eastAsia="黑体"/>
          <w:color w:val="auto"/>
          <w:highlight w:val="none"/>
        </w:rPr>
        <w:t xml:space="preserve"> </w:t>
      </w:r>
      <w:r>
        <w:rPr>
          <w:rFonts w:hint="eastAsia" w:ascii="黑体" w:hAnsi="黑体" w:eastAsia="黑体"/>
          <w:color w:val="auto"/>
          <w:highlight w:val="none"/>
          <w:lang w:val="en-US" w:eastAsia="zh-CN"/>
        </w:rPr>
        <w:t>二次能源</w:t>
      </w:r>
      <w:r>
        <w:rPr>
          <w:rFonts w:hint="eastAsia" w:ascii="黑体" w:hAnsi="黑体" w:eastAsia="黑体"/>
          <w:color w:val="auto"/>
          <w:highlight w:val="none"/>
        </w:rPr>
        <w:t xml:space="preserve"> </w:t>
      </w:r>
      <w:r>
        <w:rPr>
          <w:rFonts w:hint="eastAsia" w:ascii="黑体" w:hAnsi="黑体" w:eastAsia="黑体"/>
          <w:color w:val="auto"/>
          <w:highlight w:val="none"/>
          <w:lang w:val="en-US" w:eastAsia="zh-CN"/>
        </w:rPr>
        <w:t>S</w:t>
      </w:r>
      <w:r>
        <w:rPr>
          <w:rFonts w:hint="eastAsia" w:ascii="黑体" w:hAnsi="黑体" w:eastAsia="黑体"/>
          <w:color w:val="auto"/>
          <w:highlight w:val="none"/>
        </w:rPr>
        <w:t>econdary energy</w:t>
      </w:r>
    </w:p>
    <w:p w14:paraId="5E126424">
      <w:pPr>
        <w:pStyle w:val="27"/>
        <w:spacing w:line="360" w:lineRule="auto"/>
        <w:ind w:firstLine="420"/>
        <w:rPr>
          <w:rFonts w:hint="eastAsia"/>
        </w:rPr>
      </w:pPr>
      <w:r>
        <w:rPr>
          <w:rFonts w:hint="eastAsia"/>
        </w:rPr>
        <w:t>由一次能源直接或间接加工、转换得到的能源产品。</w:t>
      </w:r>
    </w:p>
    <w:p w14:paraId="6CB605E7">
      <w:pPr>
        <w:pStyle w:val="27"/>
        <w:spacing w:line="360" w:lineRule="auto"/>
        <w:ind w:firstLine="420"/>
      </w:pPr>
      <w:r>
        <w:rPr>
          <w:rFonts w:hint="eastAsia"/>
        </w:rPr>
        <w:t>注：本</w:t>
      </w:r>
      <w:r>
        <w:rPr>
          <w:rFonts w:hint="eastAsia"/>
          <w:lang w:val="en-US" w:eastAsia="zh-CN"/>
        </w:rPr>
        <w:t>文件</w:t>
      </w:r>
      <w:r>
        <w:rPr>
          <w:rFonts w:hint="eastAsia"/>
        </w:rPr>
        <w:t>涉及的二次能源主要包括电力、热力、成品油、压缩空气等</w:t>
      </w:r>
      <w:r>
        <w:t>。</w:t>
      </w:r>
    </w:p>
    <w:p w14:paraId="2745ADD8">
      <w:pPr>
        <w:pStyle w:val="35"/>
        <w:spacing w:before="240" w:after="240"/>
        <w:rPr>
          <w:color w:val="auto"/>
        </w:rPr>
      </w:pPr>
      <w:bookmarkStart w:id="54" w:name="_Toc27145"/>
      <w:bookmarkStart w:id="55" w:name="_Toc4855"/>
      <w:r>
        <w:rPr>
          <w:rFonts w:hint="eastAsia"/>
          <w:color w:val="auto"/>
        </w:rPr>
        <w:t>能耗限额等级</w:t>
      </w:r>
      <w:bookmarkEnd w:id="53"/>
      <w:bookmarkEnd w:id="54"/>
      <w:bookmarkEnd w:id="55"/>
    </w:p>
    <w:p w14:paraId="372AF13D">
      <w:pPr>
        <w:pStyle w:val="27"/>
        <w:spacing w:line="360" w:lineRule="auto"/>
        <w:ind w:firstLine="0" w:firstLineChars="0"/>
        <w:rPr>
          <w:rFonts w:hint="eastAsia" w:hAnsi="宋体"/>
          <w:color w:val="auto"/>
        </w:rPr>
      </w:pPr>
      <w:r>
        <w:rPr>
          <w:rFonts w:hint="eastAsia" w:ascii="黑体" w:eastAsia="黑体"/>
          <w:color w:val="auto"/>
        </w:rPr>
        <w:t>4.1 轨道车辆</w:t>
      </w:r>
      <w:r>
        <w:rPr>
          <w:rFonts w:hint="eastAsia" w:ascii="黑体" w:hAnsi="黑体" w:eastAsia="黑体"/>
          <w:color w:val="auto"/>
        </w:rPr>
        <w:t>转向架</w:t>
      </w:r>
      <w:r>
        <w:rPr>
          <w:rFonts w:hint="eastAsia" w:ascii="黑体" w:eastAsia="黑体"/>
          <w:color w:val="auto"/>
        </w:rPr>
        <w:t>悬挂橡胶制品单位产品能耗限额等级</w:t>
      </w:r>
    </w:p>
    <w:p w14:paraId="05758CBA">
      <w:pPr>
        <w:pStyle w:val="27"/>
        <w:spacing w:line="360" w:lineRule="auto"/>
        <w:ind w:firstLine="420"/>
        <w:rPr>
          <w:rFonts w:hint="eastAsia" w:hAnsi="宋体"/>
          <w:color w:val="auto"/>
        </w:rPr>
      </w:pPr>
      <w:r>
        <w:rPr>
          <w:rFonts w:hint="eastAsia" w:hAnsi="宋体"/>
          <w:color w:val="auto"/>
        </w:rPr>
        <w:t>轨道车辆转向架悬挂橡胶制品单位产品能耗限额等级见表</w:t>
      </w:r>
      <w:r>
        <w:rPr>
          <w:rFonts w:hAnsi="宋体"/>
          <w:color w:val="auto"/>
        </w:rPr>
        <w:t>1</w:t>
      </w:r>
      <w:r>
        <w:rPr>
          <w:rFonts w:hint="eastAsia" w:hAnsi="宋体"/>
          <w:color w:val="auto"/>
        </w:rPr>
        <w:t>，其中1级能耗最低。</w:t>
      </w:r>
    </w:p>
    <w:p w14:paraId="09A46DB3">
      <w:pPr>
        <w:pStyle w:val="27"/>
        <w:spacing w:line="360" w:lineRule="auto"/>
        <w:ind w:firstLine="0" w:firstLineChars="0"/>
        <w:rPr>
          <w:rFonts w:hint="eastAsia" w:hAnsi="宋体"/>
          <w:color w:val="auto"/>
          <w:sz w:val="28"/>
          <w:vertAlign w:val="subscript"/>
        </w:rPr>
      </w:pPr>
      <w:r>
        <w:rPr>
          <w:rFonts w:hint="eastAsia" w:hAnsi="宋体"/>
          <w:color w:val="auto"/>
        </w:rPr>
        <w:t xml:space="preserve"> </w:t>
      </w:r>
      <w:r>
        <w:rPr>
          <w:rFonts w:hAnsi="宋体"/>
          <w:color w:val="auto"/>
        </w:rPr>
        <w:t xml:space="preserve">                      </w:t>
      </w:r>
      <w:r>
        <w:rPr>
          <w:rFonts w:hint="eastAsia" w:hAnsi="宋体"/>
          <w:color w:val="auto"/>
        </w:rPr>
        <w:t>表1</w:t>
      </w:r>
      <w:r>
        <w:rPr>
          <w:rFonts w:hAnsi="宋体"/>
          <w:color w:val="auto"/>
        </w:rPr>
        <w:t xml:space="preserve">   </w:t>
      </w:r>
      <w:r>
        <w:rPr>
          <w:rFonts w:hint="eastAsia" w:hAnsi="宋体"/>
          <w:color w:val="auto"/>
        </w:rPr>
        <w:t>轨道车辆转向架悬挂橡胶制品单位产品能耗限额等级</w:t>
      </w:r>
      <w:r>
        <w:rPr>
          <w:rFonts w:hAnsi="宋体"/>
          <w:color w:val="auto"/>
        </w:rPr>
        <w:t xml:space="preserve"> </w:t>
      </w:r>
      <w:r>
        <w:rPr>
          <w:rFonts w:hAnsi="宋体"/>
          <w:color w:val="auto"/>
          <w:sz w:val="28"/>
          <w:vertAlign w:val="subscript"/>
        </w:rPr>
        <w:t xml:space="preserve"> </w:t>
      </w:r>
      <w:r>
        <w:rPr>
          <w:rFonts w:hint="eastAsia" w:hAnsi="宋体"/>
          <w:color w:val="auto"/>
          <w:sz w:val="28"/>
          <w:vertAlign w:val="subscript"/>
        </w:rPr>
        <w:t>单位为</w:t>
      </w:r>
      <w:r>
        <w:rPr>
          <w:rFonts w:hint="eastAsia" w:hAnsi="宋体"/>
          <w:color w:val="auto"/>
          <w:sz w:val="28"/>
          <w:vertAlign w:val="subscript"/>
          <w:lang w:val="en-US" w:eastAsia="zh-CN"/>
        </w:rPr>
        <w:t>千克</w:t>
      </w:r>
      <w:r>
        <w:rPr>
          <w:rFonts w:hint="eastAsia" w:hAnsi="宋体"/>
          <w:color w:val="auto"/>
          <w:sz w:val="28"/>
          <w:vertAlign w:val="subscript"/>
        </w:rPr>
        <w:t>标准煤/</w:t>
      </w:r>
      <w:r>
        <w:rPr>
          <w:rFonts w:hint="eastAsia" w:hAnsi="宋体"/>
          <w:color w:val="auto"/>
          <w:sz w:val="28"/>
          <w:vertAlign w:val="subscript"/>
          <w:lang w:val="en-US" w:eastAsia="zh-CN"/>
        </w:rPr>
        <w:t>吨</w:t>
      </w:r>
      <w:r>
        <w:rPr>
          <w:rFonts w:hint="eastAsia" w:hAnsi="宋体"/>
          <w:color w:val="auto"/>
          <w:sz w:val="28"/>
          <w:vertAlign w:val="subscript"/>
        </w:rPr>
        <w:t>轨道车辆悬挂橡胶制品</w:t>
      </w:r>
    </w:p>
    <w:tbl>
      <w:tblPr>
        <w:tblStyle w:val="17"/>
        <w:tblW w:w="4664" w:type="pct"/>
        <w:jc w:val="center"/>
        <w:tblLayout w:type="autofit"/>
        <w:tblCellMar>
          <w:top w:w="0" w:type="dxa"/>
          <w:left w:w="108" w:type="dxa"/>
          <w:bottom w:w="0" w:type="dxa"/>
          <w:right w:w="108" w:type="dxa"/>
        </w:tblCellMar>
      </w:tblPr>
      <w:tblGrid>
        <w:gridCol w:w="1777"/>
        <w:gridCol w:w="2382"/>
        <w:gridCol w:w="1522"/>
        <w:gridCol w:w="1522"/>
        <w:gridCol w:w="1522"/>
      </w:tblGrid>
      <w:tr w14:paraId="58AB232F">
        <w:tblPrEx>
          <w:tblCellMar>
            <w:top w:w="0" w:type="dxa"/>
            <w:left w:w="108" w:type="dxa"/>
            <w:bottom w:w="0" w:type="dxa"/>
            <w:right w:w="108" w:type="dxa"/>
          </w:tblCellMar>
        </w:tblPrEx>
        <w:trPr>
          <w:jc w:val="center"/>
        </w:trPr>
        <w:tc>
          <w:tcPr>
            <w:tcW w:w="238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1335D">
            <w:pPr>
              <w:widowControl/>
              <w:jc w:val="center"/>
              <w:textAlignment w:val="center"/>
              <w:rPr>
                <w:rFonts w:hint="eastAsia" w:ascii="宋体" w:hAnsi="宋体"/>
                <w:color w:val="auto"/>
                <w:kern w:val="0"/>
                <w:szCs w:val="20"/>
              </w:rPr>
            </w:pPr>
            <w:r>
              <w:rPr>
                <w:rFonts w:hint="eastAsia" w:ascii="宋体" w:hAnsi="宋体"/>
                <w:color w:val="auto"/>
                <w:kern w:val="0"/>
                <w:szCs w:val="20"/>
              </w:rPr>
              <w:t>产品</w:t>
            </w:r>
          </w:p>
        </w:tc>
        <w:tc>
          <w:tcPr>
            <w:tcW w:w="261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C2744">
            <w:pPr>
              <w:widowControl/>
              <w:jc w:val="center"/>
              <w:textAlignment w:val="center"/>
              <w:rPr>
                <w:rFonts w:hint="eastAsia" w:ascii="宋体" w:hAnsi="宋体"/>
                <w:color w:val="auto"/>
                <w:kern w:val="0"/>
                <w:szCs w:val="20"/>
              </w:rPr>
            </w:pPr>
            <w:r>
              <w:rPr>
                <w:rFonts w:hint="eastAsia" w:ascii="宋体" w:hAnsi="宋体"/>
                <w:color w:val="auto"/>
                <w:kern w:val="0"/>
                <w:szCs w:val="20"/>
              </w:rPr>
              <w:t>能耗限额等级</w:t>
            </w:r>
          </w:p>
        </w:tc>
      </w:tr>
      <w:tr w14:paraId="14CD727C">
        <w:tblPrEx>
          <w:tblCellMar>
            <w:top w:w="0" w:type="dxa"/>
            <w:left w:w="108" w:type="dxa"/>
            <w:bottom w:w="0" w:type="dxa"/>
            <w:right w:w="108" w:type="dxa"/>
          </w:tblCellMar>
        </w:tblPrEx>
        <w:trPr>
          <w:jc w:val="center"/>
        </w:trPr>
        <w:tc>
          <w:tcPr>
            <w:tcW w:w="238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1A6DB">
            <w:pPr>
              <w:jc w:val="center"/>
              <w:rPr>
                <w:rFonts w:hint="eastAsia" w:ascii="宋体" w:hAnsi="宋体"/>
                <w:color w:val="auto"/>
                <w:kern w:val="0"/>
                <w:szCs w:val="20"/>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ADECB">
            <w:pPr>
              <w:widowControl/>
              <w:jc w:val="center"/>
              <w:textAlignment w:val="center"/>
              <w:rPr>
                <w:rFonts w:hint="eastAsia" w:ascii="宋体" w:hAnsi="宋体"/>
                <w:color w:val="auto"/>
                <w:kern w:val="0"/>
                <w:szCs w:val="20"/>
              </w:rPr>
            </w:pPr>
            <w:r>
              <w:rPr>
                <w:rFonts w:hint="eastAsia" w:ascii="宋体" w:hAnsi="宋体"/>
                <w:color w:val="auto"/>
                <w:kern w:val="0"/>
                <w:szCs w:val="20"/>
              </w:rPr>
              <w:t>1级</w:t>
            </w:r>
          </w:p>
        </w:tc>
        <w:tc>
          <w:tcPr>
            <w:tcW w:w="8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21DA3">
            <w:pPr>
              <w:widowControl/>
              <w:jc w:val="center"/>
              <w:textAlignment w:val="center"/>
              <w:rPr>
                <w:rFonts w:hint="eastAsia" w:ascii="宋体" w:hAnsi="宋体"/>
                <w:color w:val="auto"/>
                <w:kern w:val="0"/>
                <w:szCs w:val="20"/>
              </w:rPr>
            </w:pPr>
            <w:r>
              <w:rPr>
                <w:rFonts w:hint="eastAsia" w:ascii="宋体" w:hAnsi="宋体"/>
                <w:color w:val="auto"/>
                <w:kern w:val="0"/>
                <w:szCs w:val="20"/>
              </w:rPr>
              <w:t>2级</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7D4DA">
            <w:pPr>
              <w:widowControl/>
              <w:jc w:val="center"/>
              <w:textAlignment w:val="center"/>
              <w:rPr>
                <w:rFonts w:hint="eastAsia" w:ascii="宋体" w:hAnsi="宋体"/>
                <w:color w:val="auto"/>
                <w:kern w:val="0"/>
                <w:szCs w:val="20"/>
              </w:rPr>
            </w:pPr>
            <w:r>
              <w:rPr>
                <w:rFonts w:hint="eastAsia" w:ascii="宋体" w:hAnsi="宋体"/>
                <w:color w:val="auto"/>
                <w:kern w:val="0"/>
                <w:szCs w:val="20"/>
              </w:rPr>
              <w:t>3级</w:t>
            </w:r>
          </w:p>
        </w:tc>
      </w:tr>
      <w:tr w14:paraId="5983CBA2">
        <w:tblPrEx>
          <w:tblCellMar>
            <w:top w:w="0" w:type="dxa"/>
            <w:left w:w="108" w:type="dxa"/>
            <w:bottom w:w="0" w:type="dxa"/>
            <w:right w:w="108" w:type="dxa"/>
          </w:tblCellMar>
        </w:tblPrEx>
        <w:trPr>
          <w:jc w:val="center"/>
        </w:trPr>
        <w:tc>
          <w:tcPr>
            <w:tcW w:w="1018" w:type="pct"/>
            <w:vMerge w:val="restart"/>
            <w:tcBorders>
              <w:top w:val="single" w:color="000000" w:sz="4" w:space="0"/>
              <w:left w:val="single" w:color="000000" w:sz="4" w:space="0"/>
              <w:right w:val="single" w:color="000000" w:sz="4" w:space="0"/>
            </w:tcBorders>
            <w:shd w:val="clear" w:color="auto" w:fill="auto"/>
            <w:noWrap/>
            <w:vAlign w:val="center"/>
          </w:tcPr>
          <w:p w14:paraId="28ADB6DF">
            <w:pPr>
              <w:widowControl/>
              <w:jc w:val="center"/>
              <w:textAlignment w:val="center"/>
              <w:rPr>
                <w:rFonts w:hint="eastAsia" w:ascii="宋体" w:hAnsi="宋体"/>
                <w:color w:val="auto"/>
                <w:kern w:val="0"/>
                <w:szCs w:val="20"/>
              </w:rPr>
            </w:pPr>
            <w:r>
              <w:rPr>
                <w:rFonts w:hint="eastAsia" w:ascii="宋体" w:hAnsi="宋体"/>
                <w:color w:val="auto"/>
                <w:kern w:val="0"/>
                <w:szCs w:val="20"/>
              </w:rPr>
              <w:t>空气弹簧气囊</w:t>
            </w:r>
          </w:p>
        </w:tc>
        <w:tc>
          <w:tcPr>
            <w:tcW w:w="1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D48DA">
            <w:pPr>
              <w:widowControl/>
              <w:jc w:val="center"/>
              <w:textAlignment w:val="center"/>
              <w:rPr>
                <w:rFonts w:hint="default" w:ascii="宋体" w:hAnsi="宋体" w:eastAsia="宋体"/>
                <w:color w:val="auto"/>
                <w:kern w:val="0"/>
                <w:szCs w:val="20"/>
                <w:lang w:val="en-US" w:eastAsia="zh-CN"/>
              </w:rPr>
            </w:pPr>
            <w:r>
              <w:rPr>
                <w:rFonts w:hint="eastAsia" w:ascii="宋体" w:hAnsi="宋体"/>
                <w:color w:val="auto"/>
                <w:kern w:val="0"/>
                <w:szCs w:val="20"/>
                <w:lang w:val="en-US" w:eastAsia="zh-CN"/>
              </w:rPr>
              <w:t>腰带式（AB1）</w:t>
            </w:r>
          </w:p>
        </w:tc>
        <w:tc>
          <w:tcPr>
            <w:tcW w:w="8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0A3BE">
            <w:pPr>
              <w:jc w:val="center"/>
              <w:rPr>
                <w:rFonts w:hint="default" w:ascii="宋体" w:hAnsi="宋体"/>
                <w:color w:val="auto"/>
                <w:kern w:val="0"/>
                <w:szCs w:val="20"/>
                <w:lang w:val="en-US" w:eastAsia="zh-CN"/>
              </w:rPr>
            </w:pPr>
            <w:r>
              <w:rPr>
                <w:rFonts w:hint="default" w:ascii="宋体" w:hAnsi="宋体"/>
                <w:color w:val="auto"/>
                <w:kern w:val="0"/>
                <w:szCs w:val="20"/>
                <w:lang w:val="en-US" w:eastAsia="zh-CN"/>
              </w:rPr>
              <w:t>≤ 1</w:t>
            </w:r>
            <w:r>
              <w:rPr>
                <w:rFonts w:hint="eastAsia" w:ascii="宋体" w:hAnsi="宋体"/>
                <w:color w:val="auto"/>
                <w:kern w:val="0"/>
                <w:szCs w:val="20"/>
                <w:lang w:val="en-US" w:eastAsia="zh-CN"/>
              </w:rPr>
              <w:t>030</w:t>
            </w:r>
          </w:p>
        </w:tc>
        <w:tc>
          <w:tcPr>
            <w:tcW w:w="8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693FB">
            <w:pPr>
              <w:jc w:val="center"/>
              <w:rPr>
                <w:rFonts w:hint="default" w:ascii="宋体" w:hAnsi="宋体"/>
                <w:color w:val="auto"/>
                <w:kern w:val="0"/>
                <w:szCs w:val="20"/>
                <w:lang w:val="en-US" w:eastAsia="zh-CN"/>
              </w:rPr>
            </w:pPr>
            <w:r>
              <w:rPr>
                <w:rFonts w:hint="default" w:ascii="宋体" w:hAnsi="宋体"/>
                <w:color w:val="auto"/>
                <w:kern w:val="0"/>
                <w:szCs w:val="20"/>
                <w:lang w:val="en-US" w:eastAsia="zh-CN"/>
              </w:rPr>
              <w:t>≤ 1</w:t>
            </w:r>
            <w:r>
              <w:rPr>
                <w:rFonts w:hint="eastAsia" w:ascii="宋体" w:hAnsi="宋体"/>
                <w:color w:val="auto"/>
                <w:kern w:val="0"/>
                <w:szCs w:val="20"/>
                <w:lang w:val="en-US" w:eastAsia="zh-CN"/>
              </w:rPr>
              <w:t>290</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7C37F">
            <w:pPr>
              <w:jc w:val="center"/>
              <w:rPr>
                <w:rFonts w:hint="default" w:ascii="宋体" w:hAnsi="宋体"/>
                <w:color w:val="auto"/>
                <w:kern w:val="0"/>
                <w:szCs w:val="20"/>
                <w:lang w:val="en-US" w:eastAsia="zh-CN"/>
              </w:rPr>
            </w:pPr>
            <w:r>
              <w:rPr>
                <w:rFonts w:hint="default" w:ascii="宋体" w:hAnsi="宋体"/>
                <w:color w:val="auto"/>
                <w:kern w:val="0"/>
                <w:szCs w:val="20"/>
                <w:lang w:val="en-US" w:eastAsia="zh-CN"/>
              </w:rPr>
              <w:t>≤ 1</w:t>
            </w:r>
            <w:r>
              <w:rPr>
                <w:rFonts w:hint="eastAsia" w:ascii="宋体" w:hAnsi="宋体"/>
                <w:color w:val="auto"/>
                <w:kern w:val="0"/>
                <w:szCs w:val="20"/>
                <w:lang w:val="en-US" w:eastAsia="zh-CN"/>
              </w:rPr>
              <w:t>660</w:t>
            </w:r>
          </w:p>
        </w:tc>
      </w:tr>
      <w:tr w14:paraId="3E2A1BCE">
        <w:tblPrEx>
          <w:tblCellMar>
            <w:top w:w="0" w:type="dxa"/>
            <w:left w:w="108" w:type="dxa"/>
            <w:bottom w:w="0" w:type="dxa"/>
            <w:right w:w="108" w:type="dxa"/>
          </w:tblCellMar>
        </w:tblPrEx>
        <w:trPr>
          <w:jc w:val="center"/>
        </w:trPr>
        <w:tc>
          <w:tcPr>
            <w:tcW w:w="1018" w:type="pct"/>
            <w:vMerge w:val="continue"/>
            <w:tcBorders>
              <w:left w:val="single" w:color="000000" w:sz="4" w:space="0"/>
              <w:right w:val="single" w:color="000000" w:sz="4" w:space="0"/>
            </w:tcBorders>
            <w:shd w:val="clear" w:color="auto" w:fill="auto"/>
            <w:noWrap/>
            <w:vAlign w:val="center"/>
          </w:tcPr>
          <w:p w14:paraId="3027EBC1">
            <w:pPr>
              <w:widowControl/>
              <w:jc w:val="center"/>
              <w:textAlignment w:val="center"/>
              <w:rPr>
                <w:rFonts w:hint="eastAsia" w:ascii="宋体" w:hAnsi="宋体"/>
                <w:color w:val="auto"/>
                <w:kern w:val="0"/>
                <w:szCs w:val="20"/>
              </w:rPr>
            </w:pPr>
          </w:p>
        </w:tc>
        <w:tc>
          <w:tcPr>
            <w:tcW w:w="1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C2628">
            <w:pPr>
              <w:widowControl/>
              <w:jc w:val="center"/>
              <w:textAlignment w:val="center"/>
              <w:rPr>
                <w:rFonts w:hint="default" w:ascii="宋体" w:hAnsi="宋体" w:eastAsia="宋体"/>
                <w:color w:val="auto"/>
                <w:kern w:val="0"/>
                <w:szCs w:val="20"/>
                <w:lang w:val="en-US" w:eastAsia="zh-CN"/>
              </w:rPr>
            </w:pPr>
            <w:r>
              <w:rPr>
                <w:rFonts w:hint="eastAsia" w:ascii="宋体" w:hAnsi="宋体"/>
                <w:color w:val="auto"/>
                <w:kern w:val="0"/>
                <w:szCs w:val="20"/>
                <w:lang w:val="en-US" w:eastAsia="zh-CN"/>
              </w:rPr>
              <w:t>非腰带式(AB2)</w:t>
            </w:r>
          </w:p>
        </w:tc>
        <w:tc>
          <w:tcPr>
            <w:tcW w:w="8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0743E">
            <w:pPr>
              <w:jc w:val="center"/>
              <w:rPr>
                <w:rFonts w:hint="default" w:ascii="宋体" w:hAnsi="宋体"/>
                <w:color w:val="auto"/>
                <w:kern w:val="0"/>
                <w:szCs w:val="20"/>
                <w:lang w:val="en-US" w:eastAsia="zh-CN"/>
              </w:rPr>
            </w:pPr>
            <w:r>
              <w:rPr>
                <w:rFonts w:hint="default" w:ascii="宋体" w:hAnsi="宋体"/>
                <w:color w:val="auto"/>
                <w:kern w:val="0"/>
                <w:szCs w:val="20"/>
                <w:lang w:val="en-US" w:eastAsia="zh-CN"/>
              </w:rPr>
              <w:t>≤ 1</w:t>
            </w:r>
            <w:r>
              <w:rPr>
                <w:rFonts w:hint="eastAsia" w:ascii="宋体" w:hAnsi="宋体"/>
                <w:color w:val="auto"/>
                <w:kern w:val="0"/>
                <w:szCs w:val="20"/>
                <w:lang w:val="en-US" w:eastAsia="zh-CN"/>
              </w:rPr>
              <w:t>655</w:t>
            </w:r>
          </w:p>
        </w:tc>
        <w:tc>
          <w:tcPr>
            <w:tcW w:w="8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852B4">
            <w:pPr>
              <w:jc w:val="center"/>
              <w:rPr>
                <w:rFonts w:hint="default" w:ascii="宋体" w:hAnsi="宋体"/>
                <w:color w:val="auto"/>
                <w:kern w:val="0"/>
                <w:szCs w:val="20"/>
                <w:lang w:val="en-US" w:eastAsia="zh-CN"/>
              </w:rPr>
            </w:pPr>
            <w:r>
              <w:rPr>
                <w:rFonts w:hint="default" w:ascii="宋体" w:hAnsi="宋体"/>
                <w:color w:val="auto"/>
                <w:kern w:val="0"/>
                <w:szCs w:val="20"/>
                <w:lang w:val="en-US" w:eastAsia="zh-CN"/>
              </w:rPr>
              <w:t>≤ 1</w:t>
            </w:r>
            <w:r>
              <w:rPr>
                <w:rFonts w:hint="eastAsia" w:ascii="宋体" w:hAnsi="宋体"/>
                <w:color w:val="auto"/>
                <w:kern w:val="0"/>
                <w:szCs w:val="20"/>
                <w:lang w:val="en-US" w:eastAsia="zh-CN"/>
              </w:rPr>
              <w:t>895</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9979D">
            <w:pPr>
              <w:jc w:val="center"/>
              <w:rPr>
                <w:rFonts w:hint="default" w:ascii="宋体" w:hAnsi="宋体"/>
                <w:color w:val="auto"/>
                <w:kern w:val="0"/>
                <w:szCs w:val="20"/>
                <w:lang w:val="en-US" w:eastAsia="zh-CN"/>
              </w:rPr>
            </w:pPr>
            <w:r>
              <w:rPr>
                <w:rFonts w:hint="default" w:ascii="宋体" w:hAnsi="宋体"/>
                <w:color w:val="auto"/>
                <w:kern w:val="0"/>
                <w:szCs w:val="20"/>
                <w:lang w:val="en-US" w:eastAsia="zh-CN"/>
              </w:rPr>
              <w:t xml:space="preserve">≤ </w:t>
            </w:r>
            <w:r>
              <w:rPr>
                <w:rFonts w:hint="eastAsia" w:ascii="宋体" w:hAnsi="宋体"/>
                <w:color w:val="auto"/>
                <w:kern w:val="0"/>
                <w:szCs w:val="20"/>
                <w:lang w:val="en-US" w:eastAsia="zh-CN"/>
              </w:rPr>
              <w:t>2365</w:t>
            </w:r>
          </w:p>
        </w:tc>
      </w:tr>
      <w:tr w14:paraId="4A118A3B">
        <w:tblPrEx>
          <w:tblCellMar>
            <w:top w:w="0" w:type="dxa"/>
            <w:left w:w="108" w:type="dxa"/>
            <w:bottom w:w="0" w:type="dxa"/>
            <w:right w:w="108" w:type="dxa"/>
          </w:tblCellMar>
        </w:tblPrEx>
        <w:trPr>
          <w:jc w:val="center"/>
        </w:trPr>
        <w:tc>
          <w:tcPr>
            <w:tcW w:w="101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23C55">
            <w:pPr>
              <w:widowControl/>
              <w:jc w:val="center"/>
              <w:textAlignment w:val="center"/>
              <w:rPr>
                <w:rFonts w:hint="eastAsia" w:ascii="宋体" w:hAnsi="宋体"/>
                <w:color w:val="auto"/>
                <w:kern w:val="0"/>
                <w:szCs w:val="20"/>
              </w:rPr>
            </w:pPr>
            <w:r>
              <w:rPr>
                <w:rFonts w:hint="eastAsia" w:ascii="宋体" w:hAnsi="宋体"/>
                <w:color w:val="auto"/>
                <w:kern w:val="0"/>
                <w:szCs w:val="20"/>
              </w:rPr>
              <w:t>锥形弹簧</w:t>
            </w:r>
          </w:p>
        </w:tc>
        <w:tc>
          <w:tcPr>
            <w:tcW w:w="1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16CC3">
            <w:pPr>
              <w:widowControl/>
              <w:jc w:val="center"/>
              <w:textAlignment w:val="center"/>
              <w:rPr>
                <w:rFonts w:hint="default" w:ascii="宋体" w:hAnsi="宋体" w:eastAsia="宋体"/>
                <w:color w:val="auto"/>
                <w:kern w:val="0"/>
                <w:szCs w:val="20"/>
                <w:lang w:val="en-US" w:eastAsia="zh-CN"/>
              </w:rPr>
            </w:pPr>
            <w:r>
              <w:rPr>
                <w:rFonts w:hint="eastAsia" w:ascii="宋体" w:hAnsi="宋体"/>
                <w:color w:val="auto"/>
                <w:kern w:val="0"/>
                <w:szCs w:val="20"/>
                <w:lang w:val="en-US" w:eastAsia="zh-CN"/>
              </w:rPr>
              <w:t>钢材质(CS1)</w:t>
            </w:r>
          </w:p>
        </w:tc>
        <w:tc>
          <w:tcPr>
            <w:tcW w:w="8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62D2F">
            <w:pPr>
              <w:jc w:val="center"/>
              <w:rPr>
                <w:rFonts w:hint="default" w:ascii="宋体" w:hAnsi="宋体"/>
                <w:color w:val="auto"/>
                <w:kern w:val="0"/>
                <w:szCs w:val="20"/>
                <w:lang w:val="en-US" w:eastAsia="zh-CN"/>
              </w:rPr>
            </w:pPr>
            <w:r>
              <w:rPr>
                <w:rFonts w:hint="default" w:ascii="宋体" w:hAnsi="宋体"/>
                <w:color w:val="auto"/>
                <w:kern w:val="0"/>
                <w:szCs w:val="20"/>
                <w:lang w:val="en-US" w:eastAsia="zh-CN"/>
              </w:rPr>
              <w:t xml:space="preserve">≤ </w:t>
            </w:r>
            <w:r>
              <w:rPr>
                <w:rFonts w:hint="eastAsia" w:ascii="宋体" w:hAnsi="宋体"/>
                <w:color w:val="auto"/>
                <w:kern w:val="0"/>
                <w:szCs w:val="20"/>
                <w:lang w:val="en-US" w:eastAsia="zh-CN"/>
              </w:rPr>
              <w:t>165</w:t>
            </w:r>
          </w:p>
        </w:tc>
        <w:tc>
          <w:tcPr>
            <w:tcW w:w="8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054B1">
            <w:pPr>
              <w:jc w:val="center"/>
              <w:rPr>
                <w:rFonts w:hint="default" w:ascii="宋体" w:hAnsi="宋体"/>
                <w:color w:val="auto"/>
                <w:kern w:val="0"/>
                <w:szCs w:val="20"/>
                <w:lang w:val="en-US" w:eastAsia="zh-CN"/>
              </w:rPr>
            </w:pPr>
            <w:r>
              <w:rPr>
                <w:rFonts w:hint="default" w:ascii="宋体" w:hAnsi="宋体"/>
                <w:color w:val="auto"/>
                <w:kern w:val="0"/>
                <w:szCs w:val="20"/>
                <w:lang w:val="en-US" w:eastAsia="zh-CN"/>
              </w:rPr>
              <w:t>≤ 1</w:t>
            </w:r>
            <w:r>
              <w:rPr>
                <w:rFonts w:hint="eastAsia" w:ascii="宋体" w:hAnsi="宋体"/>
                <w:color w:val="auto"/>
                <w:kern w:val="0"/>
                <w:szCs w:val="20"/>
                <w:lang w:val="en-US" w:eastAsia="zh-CN"/>
              </w:rPr>
              <w:t>95</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DE471">
            <w:pPr>
              <w:jc w:val="center"/>
              <w:rPr>
                <w:rFonts w:hint="default" w:ascii="宋体" w:hAnsi="宋体"/>
                <w:color w:val="auto"/>
                <w:kern w:val="0"/>
                <w:szCs w:val="20"/>
                <w:lang w:val="en-US" w:eastAsia="zh-CN"/>
              </w:rPr>
            </w:pPr>
            <w:r>
              <w:rPr>
                <w:rFonts w:hint="default" w:ascii="宋体" w:hAnsi="宋体"/>
                <w:color w:val="auto"/>
                <w:kern w:val="0"/>
                <w:szCs w:val="20"/>
                <w:lang w:val="en-US" w:eastAsia="zh-CN"/>
              </w:rPr>
              <w:t xml:space="preserve">≤ </w:t>
            </w:r>
            <w:r>
              <w:rPr>
                <w:rFonts w:hint="eastAsia" w:ascii="宋体" w:hAnsi="宋体"/>
                <w:color w:val="auto"/>
                <w:kern w:val="0"/>
                <w:szCs w:val="20"/>
                <w:lang w:val="en-US" w:eastAsia="zh-CN"/>
              </w:rPr>
              <w:t>250</w:t>
            </w:r>
          </w:p>
        </w:tc>
      </w:tr>
      <w:tr w14:paraId="3249B40D">
        <w:tblPrEx>
          <w:tblCellMar>
            <w:top w:w="0" w:type="dxa"/>
            <w:left w:w="108" w:type="dxa"/>
            <w:bottom w:w="0" w:type="dxa"/>
            <w:right w:w="108" w:type="dxa"/>
          </w:tblCellMar>
        </w:tblPrEx>
        <w:trPr>
          <w:jc w:val="center"/>
        </w:trPr>
        <w:tc>
          <w:tcPr>
            <w:tcW w:w="101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0E8B4">
            <w:pPr>
              <w:jc w:val="center"/>
              <w:rPr>
                <w:rFonts w:hint="eastAsia" w:ascii="宋体" w:hAnsi="宋体"/>
                <w:color w:val="auto"/>
                <w:kern w:val="0"/>
                <w:szCs w:val="20"/>
              </w:rPr>
            </w:pPr>
          </w:p>
        </w:tc>
        <w:tc>
          <w:tcPr>
            <w:tcW w:w="1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C111D">
            <w:pPr>
              <w:widowControl/>
              <w:jc w:val="center"/>
              <w:textAlignment w:val="center"/>
              <w:rPr>
                <w:rFonts w:hint="default" w:ascii="宋体" w:hAnsi="宋体"/>
                <w:color w:val="auto"/>
                <w:kern w:val="0"/>
                <w:szCs w:val="20"/>
                <w:lang w:val="en-US"/>
              </w:rPr>
            </w:pPr>
            <w:r>
              <w:rPr>
                <w:rFonts w:hint="eastAsia" w:ascii="宋体" w:hAnsi="宋体"/>
                <w:color w:val="auto"/>
                <w:kern w:val="0"/>
                <w:szCs w:val="20"/>
                <w:lang w:val="en-US" w:eastAsia="zh-CN"/>
              </w:rPr>
              <w:t>铝材质(CS2)</w:t>
            </w:r>
          </w:p>
        </w:tc>
        <w:tc>
          <w:tcPr>
            <w:tcW w:w="8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96990">
            <w:pPr>
              <w:jc w:val="center"/>
              <w:rPr>
                <w:rFonts w:hint="default" w:ascii="宋体" w:hAnsi="宋体"/>
                <w:color w:val="auto"/>
                <w:kern w:val="0"/>
                <w:szCs w:val="20"/>
                <w:lang w:val="en-US" w:eastAsia="zh-CN"/>
              </w:rPr>
            </w:pPr>
            <w:r>
              <w:rPr>
                <w:rFonts w:hint="default" w:ascii="宋体" w:hAnsi="宋体"/>
                <w:color w:val="auto"/>
                <w:kern w:val="0"/>
                <w:szCs w:val="20"/>
                <w:lang w:val="en-US" w:eastAsia="zh-CN"/>
              </w:rPr>
              <w:t xml:space="preserve">≤ </w:t>
            </w:r>
            <w:r>
              <w:rPr>
                <w:rFonts w:hint="eastAsia" w:ascii="宋体" w:hAnsi="宋体"/>
                <w:color w:val="auto"/>
                <w:kern w:val="0"/>
                <w:szCs w:val="20"/>
                <w:lang w:val="en-US" w:eastAsia="zh-CN"/>
              </w:rPr>
              <w:t>305</w:t>
            </w:r>
          </w:p>
        </w:tc>
        <w:tc>
          <w:tcPr>
            <w:tcW w:w="8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3A5F6">
            <w:pPr>
              <w:jc w:val="center"/>
              <w:rPr>
                <w:rFonts w:hint="default" w:ascii="宋体" w:hAnsi="宋体"/>
                <w:color w:val="auto"/>
                <w:kern w:val="0"/>
                <w:szCs w:val="20"/>
                <w:lang w:val="en-US" w:eastAsia="zh-CN"/>
              </w:rPr>
            </w:pPr>
            <w:r>
              <w:rPr>
                <w:rFonts w:hint="default" w:ascii="宋体" w:hAnsi="宋体"/>
                <w:color w:val="auto"/>
                <w:kern w:val="0"/>
                <w:szCs w:val="20"/>
                <w:lang w:val="en-US" w:eastAsia="zh-CN"/>
              </w:rPr>
              <w:t xml:space="preserve">≤ </w:t>
            </w:r>
            <w:r>
              <w:rPr>
                <w:rFonts w:hint="eastAsia" w:ascii="宋体" w:hAnsi="宋体"/>
                <w:color w:val="auto"/>
                <w:kern w:val="0"/>
                <w:szCs w:val="20"/>
                <w:lang w:val="en-US" w:eastAsia="zh-CN"/>
              </w:rPr>
              <w:t>345</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29060">
            <w:pPr>
              <w:jc w:val="center"/>
              <w:rPr>
                <w:rFonts w:hint="default" w:ascii="宋体" w:hAnsi="宋体"/>
                <w:color w:val="auto"/>
                <w:kern w:val="0"/>
                <w:szCs w:val="20"/>
                <w:lang w:val="en-US" w:eastAsia="zh-CN"/>
              </w:rPr>
            </w:pPr>
            <w:r>
              <w:rPr>
                <w:rFonts w:hint="default" w:ascii="宋体" w:hAnsi="宋体"/>
                <w:color w:val="auto"/>
                <w:kern w:val="0"/>
                <w:szCs w:val="20"/>
                <w:lang w:val="en-US" w:eastAsia="zh-CN"/>
              </w:rPr>
              <w:t xml:space="preserve">≤ </w:t>
            </w:r>
            <w:r>
              <w:rPr>
                <w:rFonts w:hint="eastAsia" w:ascii="宋体" w:hAnsi="宋体"/>
                <w:color w:val="auto"/>
                <w:kern w:val="0"/>
                <w:szCs w:val="20"/>
                <w:lang w:val="en-US" w:eastAsia="zh-CN"/>
              </w:rPr>
              <w:t>500</w:t>
            </w:r>
          </w:p>
        </w:tc>
      </w:tr>
      <w:tr w14:paraId="654DF1FD">
        <w:tblPrEx>
          <w:tblCellMar>
            <w:top w:w="0" w:type="dxa"/>
            <w:left w:w="108" w:type="dxa"/>
            <w:bottom w:w="0" w:type="dxa"/>
            <w:right w:w="108" w:type="dxa"/>
          </w:tblCellMar>
        </w:tblPrEx>
        <w:trPr>
          <w:jc w:val="center"/>
        </w:trPr>
        <w:tc>
          <w:tcPr>
            <w:tcW w:w="101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B8B9F">
            <w:pPr>
              <w:widowControl/>
              <w:jc w:val="center"/>
              <w:textAlignment w:val="center"/>
              <w:rPr>
                <w:rFonts w:hint="eastAsia" w:ascii="宋体" w:hAnsi="宋体"/>
                <w:color w:val="auto"/>
                <w:kern w:val="0"/>
                <w:szCs w:val="20"/>
              </w:rPr>
            </w:pPr>
            <w:r>
              <w:rPr>
                <w:rFonts w:hint="eastAsia" w:ascii="宋体" w:hAnsi="宋体"/>
                <w:color w:val="auto"/>
                <w:kern w:val="0"/>
                <w:szCs w:val="20"/>
              </w:rPr>
              <w:t>弹性节点</w:t>
            </w:r>
          </w:p>
        </w:tc>
        <w:tc>
          <w:tcPr>
            <w:tcW w:w="1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80FAE">
            <w:pPr>
              <w:widowControl/>
              <w:jc w:val="center"/>
              <w:textAlignment w:val="center"/>
              <w:rPr>
                <w:rFonts w:hint="default" w:ascii="宋体" w:hAnsi="宋体" w:eastAsia="宋体"/>
                <w:color w:val="auto"/>
                <w:kern w:val="0"/>
                <w:szCs w:val="20"/>
                <w:lang w:val="en-US" w:eastAsia="zh-CN"/>
              </w:rPr>
            </w:pPr>
            <w:r>
              <w:rPr>
                <w:rFonts w:hint="eastAsia" w:ascii="宋体" w:hAnsi="宋体"/>
                <w:color w:val="auto"/>
                <w:kern w:val="0"/>
                <w:szCs w:val="20"/>
                <w:lang w:val="en-US" w:eastAsia="zh-CN"/>
              </w:rPr>
              <w:t>带轴(J1)</w:t>
            </w:r>
          </w:p>
        </w:tc>
        <w:tc>
          <w:tcPr>
            <w:tcW w:w="8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E538A">
            <w:pPr>
              <w:jc w:val="center"/>
              <w:rPr>
                <w:rFonts w:hint="default" w:ascii="宋体" w:hAnsi="宋体"/>
                <w:color w:val="auto"/>
                <w:kern w:val="0"/>
                <w:szCs w:val="20"/>
                <w:lang w:val="en-US" w:eastAsia="zh-CN"/>
              </w:rPr>
            </w:pPr>
            <w:r>
              <w:rPr>
                <w:rFonts w:hint="eastAsia" w:ascii="宋体" w:hAnsi="宋体"/>
                <w:color w:val="auto"/>
                <w:kern w:val="0"/>
                <w:szCs w:val="20"/>
                <w:lang w:val="en-US" w:eastAsia="zh-CN"/>
              </w:rPr>
              <w:t>≤ 265</w:t>
            </w:r>
          </w:p>
        </w:tc>
        <w:tc>
          <w:tcPr>
            <w:tcW w:w="8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799FE">
            <w:pPr>
              <w:jc w:val="center"/>
              <w:rPr>
                <w:rFonts w:hint="default" w:ascii="宋体" w:hAnsi="宋体"/>
                <w:color w:val="auto"/>
                <w:kern w:val="0"/>
                <w:szCs w:val="20"/>
                <w:lang w:val="en-US" w:eastAsia="zh-CN"/>
              </w:rPr>
            </w:pPr>
            <w:r>
              <w:rPr>
                <w:rFonts w:hint="default" w:ascii="宋体" w:hAnsi="宋体"/>
                <w:color w:val="auto"/>
                <w:kern w:val="0"/>
                <w:szCs w:val="20"/>
                <w:lang w:val="en-US" w:eastAsia="zh-CN"/>
              </w:rPr>
              <w:t xml:space="preserve">≤ </w:t>
            </w:r>
            <w:r>
              <w:rPr>
                <w:rFonts w:hint="eastAsia" w:ascii="宋体" w:hAnsi="宋体"/>
                <w:color w:val="auto"/>
                <w:kern w:val="0"/>
                <w:szCs w:val="20"/>
                <w:lang w:val="en-US" w:eastAsia="zh-CN"/>
              </w:rPr>
              <w:t>315</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B7C56">
            <w:pPr>
              <w:jc w:val="center"/>
              <w:rPr>
                <w:rFonts w:hint="default" w:ascii="宋体" w:hAnsi="宋体"/>
                <w:color w:val="auto"/>
                <w:kern w:val="0"/>
                <w:szCs w:val="20"/>
                <w:lang w:val="en-US" w:eastAsia="zh-CN"/>
              </w:rPr>
            </w:pPr>
            <w:r>
              <w:rPr>
                <w:rFonts w:hint="default" w:ascii="宋体" w:hAnsi="宋体"/>
                <w:color w:val="auto"/>
                <w:kern w:val="0"/>
                <w:szCs w:val="20"/>
                <w:lang w:val="en-US" w:eastAsia="zh-CN"/>
              </w:rPr>
              <w:t>≤ 3</w:t>
            </w:r>
            <w:r>
              <w:rPr>
                <w:rFonts w:hint="eastAsia" w:ascii="宋体" w:hAnsi="宋体"/>
                <w:color w:val="auto"/>
                <w:kern w:val="0"/>
                <w:szCs w:val="20"/>
                <w:lang w:val="en-US" w:eastAsia="zh-CN"/>
              </w:rPr>
              <w:t>80</w:t>
            </w:r>
          </w:p>
        </w:tc>
      </w:tr>
      <w:tr w14:paraId="30A43C94">
        <w:tblPrEx>
          <w:tblCellMar>
            <w:top w:w="0" w:type="dxa"/>
            <w:left w:w="108" w:type="dxa"/>
            <w:bottom w:w="0" w:type="dxa"/>
            <w:right w:w="108" w:type="dxa"/>
          </w:tblCellMar>
        </w:tblPrEx>
        <w:trPr>
          <w:jc w:val="center"/>
        </w:trPr>
        <w:tc>
          <w:tcPr>
            <w:tcW w:w="101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975C3">
            <w:pPr>
              <w:jc w:val="center"/>
              <w:rPr>
                <w:rFonts w:hint="eastAsia" w:ascii="宋体" w:hAnsi="宋体"/>
                <w:color w:val="auto"/>
                <w:kern w:val="0"/>
                <w:szCs w:val="20"/>
              </w:rPr>
            </w:pPr>
          </w:p>
        </w:tc>
        <w:tc>
          <w:tcPr>
            <w:tcW w:w="1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7A788">
            <w:pPr>
              <w:widowControl/>
              <w:jc w:val="center"/>
              <w:textAlignment w:val="center"/>
              <w:rPr>
                <w:rFonts w:hint="default" w:ascii="宋体" w:hAnsi="宋体" w:eastAsia="宋体"/>
                <w:color w:val="auto"/>
                <w:kern w:val="0"/>
                <w:szCs w:val="20"/>
                <w:lang w:val="en-US" w:eastAsia="zh-CN"/>
              </w:rPr>
            </w:pPr>
            <w:r>
              <w:rPr>
                <w:rFonts w:hint="eastAsia" w:ascii="宋体" w:hAnsi="宋体"/>
                <w:color w:val="auto"/>
                <w:kern w:val="0"/>
                <w:szCs w:val="20"/>
                <w:lang w:val="en-US" w:eastAsia="zh-CN"/>
              </w:rPr>
              <w:t>衬套(J2)</w:t>
            </w:r>
          </w:p>
        </w:tc>
        <w:tc>
          <w:tcPr>
            <w:tcW w:w="8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3099D">
            <w:pPr>
              <w:jc w:val="center"/>
              <w:rPr>
                <w:rFonts w:hint="default" w:ascii="宋体" w:hAnsi="宋体"/>
                <w:color w:val="auto"/>
                <w:kern w:val="0"/>
                <w:szCs w:val="20"/>
                <w:lang w:val="en-US" w:eastAsia="zh-CN"/>
              </w:rPr>
            </w:pPr>
            <w:r>
              <w:rPr>
                <w:rFonts w:hint="default" w:ascii="宋体" w:hAnsi="宋体"/>
                <w:color w:val="auto"/>
                <w:kern w:val="0"/>
                <w:szCs w:val="20"/>
                <w:lang w:val="en-US" w:eastAsia="zh-CN"/>
              </w:rPr>
              <w:t xml:space="preserve">≤ </w:t>
            </w:r>
            <w:r>
              <w:rPr>
                <w:rFonts w:hint="eastAsia" w:ascii="宋体" w:hAnsi="宋体"/>
                <w:color w:val="auto"/>
                <w:kern w:val="0"/>
                <w:szCs w:val="20"/>
                <w:lang w:val="en-US" w:eastAsia="zh-CN"/>
              </w:rPr>
              <w:t>735</w:t>
            </w:r>
          </w:p>
        </w:tc>
        <w:tc>
          <w:tcPr>
            <w:tcW w:w="8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49397">
            <w:pPr>
              <w:jc w:val="center"/>
              <w:rPr>
                <w:rFonts w:hint="default" w:ascii="宋体" w:hAnsi="宋体"/>
                <w:color w:val="auto"/>
                <w:kern w:val="0"/>
                <w:szCs w:val="20"/>
                <w:lang w:val="en-US" w:eastAsia="zh-CN"/>
              </w:rPr>
            </w:pPr>
            <w:r>
              <w:rPr>
                <w:rFonts w:hint="default" w:ascii="宋体" w:hAnsi="宋体"/>
                <w:color w:val="auto"/>
                <w:kern w:val="0"/>
                <w:szCs w:val="20"/>
                <w:lang w:val="en-US" w:eastAsia="zh-CN"/>
              </w:rPr>
              <w:t xml:space="preserve">≤ </w:t>
            </w:r>
            <w:r>
              <w:rPr>
                <w:rFonts w:hint="eastAsia" w:ascii="宋体" w:hAnsi="宋体"/>
                <w:color w:val="auto"/>
                <w:kern w:val="0"/>
                <w:szCs w:val="20"/>
                <w:lang w:val="en-US" w:eastAsia="zh-CN"/>
              </w:rPr>
              <w:t>895</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EF39A">
            <w:pPr>
              <w:jc w:val="center"/>
              <w:rPr>
                <w:rFonts w:hint="default" w:ascii="宋体" w:hAnsi="宋体"/>
                <w:color w:val="auto"/>
                <w:kern w:val="0"/>
                <w:szCs w:val="20"/>
                <w:lang w:val="en-US" w:eastAsia="zh-CN"/>
              </w:rPr>
            </w:pPr>
            <w:r>
              <w:rPr>
                <w:rFonts w:hint="default" w:ascii="宋体" w:hAnsi="宋体"/>
                <w:color w:val="auto"/>
                <w:kern w:val="0"/>
                <w:szCs w:val="20"/>
                <w:lang w:val="en-US" w:eastAsia="zh-CN"/>
              </w:rPr>
              <w:t xml:space="preserve">≤ </w:t>
            </w:r>
            <w:r>
              <w:rPr>
                <w:rFonts w:hint="eastAsia" w:ascii="宋体" w:hAnsi="宋体"/>
                <w:color w:val="auto"/>
                <w:kern w:val="0"/>
                <w:szCs w:val="20"/>
                <w:lang w:val="en-US" w:eastAsia="zh-CN"/>
              </w:rPr>
              <w:t>1165</w:t>
            </w:r>
          </w:p>
        </w:tc>
      </w:tr>
    </w:tbl>
    <w:p w14:paraId="33F8D665">
      <w:pPr>
        <w:pStyle w:val="35"/>
        <w:numPr>
          <w:ilvl w:val="1"/>
          <w:numId w:val="0"/>
        </w:numPr>
        <w:tabs>
          <w:tab w:val="left" w:pos="284"/>
        </w:tabs>
        <w:spacing w:before="240" w:after="240"/>
        <w:ind w:leftChars="0"/>
        <w:rPr>
          <w:color w:val="auto"/>
        </w:rPr>
      </w:pPr>
      <w:bookmarkStart w:id="56" w:name="_Toc14024"/>
      <w:bookmarkStart w:id="57" w:name="_Toc875"/>
      <w:bookmarkStart w:id="58" w:name="_Toc168053916"/>
      <w:r>
        <w:rPr>
          <w:rFonts w:hint="eastAsia"/>
          <w:color w:val="auto"/>
          <w:lang w:val="en-US" w:eastAsia="zh-CN"/>
        </w:rPr>
        <w:t>5.</w:t>
      </w:r>
      <w:r>
        <w:rPr>
          <w:rFonts w:hint="eastAsia"/>
          <w:color w:val="auto"/>
        </w:rPr>
        <w:t>技术要求</w:t>
      </w:r>
      <w:bookmarkEnd w:id="56"/>
      <w:bookmarkEnd w:id="57"/>
      <w:bookmarkEnd w:id="58"/>
    </w:p>
    <w:p w14:paraId="6C45A4A6">
      <w:pPr>
        <w:spacing w:line="360" w:lineRule="auto"/>
        <w:rPr>
          <w:color w:val="auto"/>
        </w:rPr>
      </w:pPr>
      <w:bookmarkStart w:id="59" w:name="_Toc11949"/>
      <w:bookmarkStart w:id="60" w:name="_Toc16377"/>
      <w:r>
        <w:rPr>
          <w:rFonts w:hint="eastAsia"/>
          <w:color w:val="auto"/>
        </w:rPr>
        <w:t>5.1</w:t>
      </w:r>
      <w:bookmarkEnd w:id="59"/>
      <w:bookmarkEnd w:id="60"/>
      <w:r>
        <w:rPr>
          <w:rFonts w:hint="eastAsia"/>
          <w:color w:val="auto"/>
        </w:rPr>
        <w:t>　轨道车辆</w:t>
      </w:r>
      <w:r>
        <w:rPr>
          <w:rFonts w:hint="eastAsia" w:ascii="宋体" w:hAnsi="宋体"/>
          <w:color w:val="auto"/>
          <w:kern w:val="0"/>
          <w:szCs w:val="20"/>
        </w:rPr>
        <w:t>转向架</w:t>
      </w:r>
      <w:r>
        <w:rPr>
          <w:rFonts w:hint="eastAsia"/>
          <w:color w:val="auto"/>
        </w:rPr>
        <w:t>悬挂橡胶制品单位产品技术要求</w:t>
      </w:r>
    </w:p>
    <w:p w14:paraId="46CA6AD7">
      <w:pPr>
        <w:pStyle w:val="27"/>
        <w:spacing w:line="360" w:lineRule="auto"/>
        <w:ind w:firstLine="0" w:firstLineChars="0"/>
        <w:rPr>
          <w:color w:val="auto"/>
        </w:rPr>
      </w:pPr>
      <w:r>
        <w:rPr>
          <w:rFonts w:hint="eastAsia" w:ascii="黑体" w:hAnsi="黑体" w:eastAsia="黑体"/>
          <w:color w:val="auto"/>
        </w:rPr>
        <w:t>5.1.1</w:t>
      </w:r>
      <w:r>
        <w:rPr>
          <w:rFonts w:hint="eastAsia"/>
          <w:color w:val="auto"/>
        </w:rPr>
        <w:t>　生产轨道车辆</w:t>
      </w:r>
      <w:r>
        <w:rPr>
          <w:rFonts w:hint="eastAsia" w:hAnsi="宋体"/>
          <w:color w:val="auto"/>
        </w:rPr>
        <w:t>转向架</w:t>
      </w:r>
      <w:r>
        <w:rPr>
          <w:rFonts w:hint="eastAsia"/>
          <w:color w:val="auto"/>
        </w:rPr>
        <w:t>悬挂橡胶制品产品的现有企业，在本文件实施之日起2</w:t>
      </w:r>
      <w:r>
        <w:rPr>
          <w:color w:val="auto"/>
        </w:rPr>
        <w:t>4</w:t>
      </w:r>
      <w:r>
        <w:rPr>
          <w:rFonts w:hint="eastAsia"/>
          <w:color w:val="auto"/>
        </w:rPr>
        <w:t>个月后，其单位产品能耗限定值应满足表1中能耗限额等级的3级要求。</w:t>
      </w:r>
    </w:p>
    <w:p w14:paraId="5E71A1BB">
      <w:pPr>
        <w:pStyle w:val="27"/>
        <w:spacing w:line="360" w:lineRule="auto"/>
        <w:ind w:firstLine="0" w:firstLineChars="0"/>
        <w:rPr>
          <w:color w:val="auto"/>
        </w:rPr>
      </w:pPr>
      <w:r>
        <w:rPr>
          <w:rFonts w:hint="eastAsia" w:ascii="黑体" w:hAnsi="黑体" w:eastAsia="黑体"/>
          <w:color w:val="auto"/>
        </w:rPr>
        <w:t>5.1.2</w:t>
      </w:r>
      <w:r>
        <w:rPr>
          <w:rFonts w:hint="eastAsia"/>
          <w:color w:val="auto"/>
        </w:rPr>
        <w:t>　生产轨道车辆</w:t>
      </w:r>
      <w:r>
        <w:rPr>
          <w:rFonts w:hint="eastAsia" w:hAnsi="宋体"/>
          <w:color w:val="auto"/>
        </w:rPr>
        <w:t>转向架</w:t>
      </w:r>
      <w:r>
        <w:rPr>
          <w:rFonts w:hint="eastAsia"/>
          <w:color w:val="auto"/>
        </w:rPr>
        <w:t>悬挂橡胶制品产品的新建、改建和扩建项目，其单位产品能耗准入值应满足表1中能耗限额等级的2级要求。</w:t>
      </w:r>
      <w:bookmarkStart w:id="61" w:name="_Hlk128643635"/>
    </w:p>
    <w:p w14:paraId="485664CA">
      <w:pPr>
        <w:pStyle w:val="27"/>
        <w:spacing w:line="360" w:lineRule="auto"/>
        <w:ind w:firstLine="0" w:firstLineChars="0"/>
        <w:rPr>
          <w:rFonts w:hint="eastAsia" w:eastAsia="宋体"/>
          <w:color w:val="auto"/>
          <w:lang w:eastAsia="zh-CN"/>
        </w:rPr>
      </w:pPr>
      <w:r>
        <w:rPr>
          <w:rFonts w:hint="eastAsia" w:ascii="黑体" w:hAnsi="黑体" w:eastAsia="黑体"/>
          <w:color w:val="auto"/>
        </w:rPr>
        <w:t>5</w:t>
      </w:r>
      <w:r>
        <w:rPr>
          <w:rFonts w:ascii="黑体" w:hAnsi="黑体" w:eastAsia="黑体"/>
          <w:color w:val="auto"/>
        </w:rPr>
        <w:t>.1.3</w:t>
      </w:r>
      <w:r>
        <w:rPr>
          <w:rFonts w:hint="eastAsia"/>
          <w:color w:val="auto"/>
        </w:rPr>
        <w:t>　生产轨道车辆</w:t>
      </w:r>
      <w:r>
        <w:rPr>
          <w:rFonts w:hint="eastAsia" w:hAnsi="宋体"/>
          <w:color w:val="auto"/>
        </w:rPr>
        <w:t>转向架</w:t>
      </w:r>
      <w:r>
        <w:rPr>
          <w:rFonts w:hint="eastAsia"/>
          <w:color w:val="auto"/>
        </w:rPr>
        <w:t>悬挂橡胶制品企业对标国内外同行能源效率先进水平，其单位产品能耗先进值应满足表1中能耗限额等级的</w:t>
      </w:r>
      <w:r>
        <w:rPr>
          <w:color w:val="auto"/>
        </w:rPr>
        <w:t>1</w:t>
      </w:r>
      <w:r>
        <w:rPr>
          <w:rFonts w:hint="eastAsia"/>
          <w:color w:val="auto"/>
        </w:rPr>
        <w:t>级要求</w:t>
      </w:r>
      <w:r>
        <w:rPr>
          <w:rFonts w:hint="eastAsia"/>
          <w:color w:val="auto"/>
          <w:lang w:eastAsia="zh-CN"/>
        </w:rPr>
        <w:t>。</w:t>
      </w:r>
    </w:p>
    <w:p w14:paraId="35657BC4">
      <w:pPr>
        <w:pStyle w:val="35"/>
        <w:tabs>
          <w:tab w:val="left" w:pos="284"/>
        </w:tabs>
        <w:spacing w:before="240" w:after="240" w:line="360" w:lineRule="auto"/>
        <w:rPr>
          <w:color w:val="auto"/>
        </w:rPr>
      </w:pPr>
      <w:bookmarkStart w:id="62" w:name="_Toc27176"/>
      <w:bookmarkStart w:id="63" w:name="_Toc11353"/>
      <w:bookmarkStart w:id="64" w:name="_Toc2487"/>
      <w:bookmarkStart w:id="65" w:name="_Toc168053917"/>
      <w:r>
        <w:rPr>
          <w:rFonts w:hint="eastAsia"/>
          <w:color w:val="auto"/>
        </w:rPr>
        <w:t>统计范围和</w:t>
      </w:r>
      <w:bookmarkEnd w:id="62"/>
      <w:r>
        <w:rPr>
          <w:rFonts w:hint="eastAsia"/>
          <w:color w:val="auto"/>
        </w:rPr>
        <w:t>计算方法</w:t>
      </w:r>
      <w:bookmarkEnd w:id="63"/>
      <w:bookmarkEnd w:id="64"/>
      <w:bookmarkEnd w:id="65"/>
    </w:p>
    <w:p w14:paraId="1149D4A4">
      <w:pPr>
        <w:autoSpaceDE w:val="0"/>
        <w:autoSpaceDN w:val="0"/>
        <w:spacing w:line="360" w:lineRule="auto"/>
        <w:rPr>
          <w:rFonts w:hint="eastAsia" w:ascii="黑体" w:hAnsi="黑体" w:eastAsia="黑体"/>
          <w:color w:val="auto"/>
          <w:kern w:val="0"/>
          <w:szCs w:val="20"/>
        </w:rPr>
      </w:pPr>
      <w:r>
        <w:rPr>
          <w:rFonts w:hint="eastAsia" w:ascii="黑体" w:hAnsi="黑体" w:eastAsia="黑体"/>
          <w:color w:val="auto"/>
          <w:kern w:val="0"/>
          <w:szCs w:val="20"/>
        </w:rPr>
        <w:t>6.1</w:t>
      </w:r>
      <w:r>
        <w:rPr>
          <w:rFonts w:hint="eastAsia"/>
          <w:color w:val="auto"/>
        </w:rPr>
        <w:t>　</w:t>
      </w:r>
      <w:r>
        <w:rPr>
          <w:rFonts w:hint="eastAsia" w:ascii="黑体" w:hAnsi="黑体" w:eastAsia="黑体"/>
          <w:color w:val="auto"/>
          <w:kern w:val="0"/>
          <w:szCs w:val="20"/>
        </w:rPr>
        <w:t>统计范围</w:t>
      </w:r>
    </w:p>
    <w:p w14:paraId="586F412A">
      <w:pPr>
        <w:autoSpaceDE w:val="0"/>
        <w:autoSpaceDN w:val="0"/>
        <w:spacing w:line="360" w:lineRule="auto"/>
        <w:rPr>
          <w:rFonts w:hint="eastAsia" w:ascii="黑体" w:hAnsi="黑体" w:eastAsia="黑体"/>
          <w:color w:val="auto"/>
          <w:kern w:val="0"/>
        </w:rPr>
      </w:pPr>
      <w:r>
        <w:rPr>
          <w:rFonts w:hint="eastAsia" w:ascii="黑体" w:hAnsi="黑体" w:eastAsia="黑体"/>
          <w:color w:val="auto"/>
          <w:kern w:val="0"/>
        </w:rPr>
        <w:t>6</w:t>
      </w:r>
      <w:r>
        <w:rPr>
          <w:rFonts w:ascii="黑体" w:hAnsi="黑体" w:eastAsia="黑体"/>
          <w:color w:val="auto"/>
          <w:kern w:val="0"/>
        </w:rPr>
        <w:t>.1.1</w:t>
      </w:r>
      <w:r>
        <w:rPr>
          <w:rFonts w:hint="eastAsia"/>
          <w:color w:val="auto"/>
        </w:rPr>
        <w:t>　</w:t>
      </w:r>
      <w:r>
        <w:rPr>
          <w:rFonts w:hint="eastAsia" w:ascii="宋体" w:hAnsi="宋体"/>
          <w:color w:val="auto"/>
          <w:kern w:val="0"/>
        </w:rPr>
        <w:t>轨道车辆</w:t>
      </w:r>
      <w:r>
        <w:rPr>
          <w:rFonts w:hint="eastAsia" w:ascii="宋体" w:hAnsi="宋体"/>
          <w:color w:val="auto"/>
          <w:kern w:val="0"/>
          <w:szCs w:val="20"/>
        </w:rPr>
        <w:t>转向架</w:t>
      </w:r>
      <w:r>
        <w:rPr>
          <w:rFonts w:hint="eastAsia" w:ascii="宋体" w:hAnsi="宋体"/>
          <w:color w:val="auto"/>
          <w:kern w:val="0"/>
        </w:rPr>
        <w:t>悬挂橡胶制品生产综合能耗包括一次能源和二次能源。</w:t>
      </w:r>
    </w:p>
    <w:p w14:paraId="3F23BAD4">
      <w:pPr>
        <w:autoSpaceDE w:val="0"/>
        <w:autoSpaceDN w:val="0"/>
        <w:spacing w:line="360" w:lineRule="auto"/>
        <w:rPr>
          <w:rFonts w:hint="eastAsia" w:ascii="宋体" w:hAnsi="宋体"/>
          <w:color w:val="auto"/>
          <w:kern w:val="0"/>
          <w:sz w:val="20"/>
        </w:rPr>
      </w:pPr>
      <w:r>
        <w:rPr>
          <w:rFonts w:hint="eastAsia" w:ascii="黑体" w:hAnsi="黑体" w:eastAsia="黑体"/>
          <w:color w:val="auto"/>
          <w:kern w:val="0"/>
        </w:rPr>
        <w:t>6</w:t>
      </w:r>
      <w:r>
        <w:rPr>
          <w:rFonts w:ascii="黑体" w:hAnsi="黑体" w:eastAsia="黑体"/>
          <w:color w:val="auto"/>
          <w:kern w:val="0"/>
        </w:rPr>
        <w:t>.1.2</w:t>
      </w:r>
      <w:r>
        <w:rPr>
          <w:rFonts w:hint="eastAsia"/>
          <w:color w:val="auto"/>
        </w:rPr>
        <w:t>　</w:t>
      </w:r>
      <w:r>
        <w:rPr>
          <w:rFonts w:hint="eastAsia" w:ascii="宋体" w:hAnsi="宋体"/>
          <w:color w:val="auto"/>
          <w:kern w:val="0"/>
        </w:rPr>
        <w:t>轨道车辆</w:t>
      </w:r>
      <w:r>
        <w:rPr>
          <w:rFonts w:hint="eastAsia" w:ascii="宋体" w:hAnsi="宋体"/>
          <w:color w:val="auto"/>
          <w:kern w:val="0"/>
          <w:szCs w:val="20"/>
        </w:rPr>
        <w:t>转向架</w:t>
      </w:r>
      <w:r>
        <w:rPr>
          <w:rFonts w:hint="eastAsia" w:ascii="宋体" w:hAnsi="宋体"/>
          <w:color w:val="auto"/>
          <w:kern w:val="0"/>
        </w:rPr>
        <w:t>悬挂橡胶制品生产综合能耗统计范围包括轨道车辆悬挂橡胶制品生产企业从原材料进入生产厂界、到轨道车辆</w:t>
      </w:r>
      <w:r>
        <w:rPr>
          <w:rFonts w:hint="eastAsia" w:ascii="宋体" w:hAnsi="宋体"/>
          <w:color w:val="auto"/>
          <w:kern w:val="0"/>
          <w:szCs w:val="20"/>
        </w:rPr>
        <w:t>转向架</w:t>
      </w:r>
      <w:r>
        <w:rPr>
          <w:rFonts w:hint="eastAsia" w:ascii="宋体" w:hAnsi="宋体"/>
          <w:color w:val="auto"/>
          <w:kern w:val="0"/>
        </w:rPr>
        <w:t>悬挂橡胶制品产品出厂的主要生产系统、辅助生产系统、附属生产系统实际消耗的各种能源量。但不包括基建和技改等项目建设及生活所消耗的各种能源量。</w:t>
      </w:r>
    </w:p>
    <w:p w14:paraId="58C3374C">
      <w:pPr>
        <w:autoSpaceDE w:val="0"/>
        <w:autoSpaceDN w:val="0"/>
        <w:spacing w:line="360" w:lineRule="auto"/>
        <w:rPr>
          <w:rFonts w:hint="eastAsia" w:ascii="宋体" w:hAnsi="宋体"/>
          <w:color w:val="auto"/>
          <w:kern w:val="0"/>
        </w:rPr>
      </w:pPr>
      <w:r>
        <w:rPr>
          <w:rFonts w:hint="eastAsia" w:ascii="黑体" w:hAnsi="黑体" w:eastAsia="黑体"/>
          <w:color w:val="auto"/>
          <w:kern w:val="0"/>
        </w:rPr>
        <w:t>6</w:t>
      </w:r>
      <w:r>
        <w:rPr>
          <w:rFonts w:ascii="黑体" w:hAnsi="黑体" w:eastAsia="黑体"/>
          <w:color w:val="auto"/>
          <w:kern w:val="0"/>
        </w:rPr>
        <w:t>.1.3</w:t>
      </w:r>
      <w:r>
        <w:rPr>
          <w:rFonts w:hint="eastAsia"/>
          <w:color w:val="auto"/>
        </w:rPr>
        <w:t>　</w:t>
      </w:r>
      <w:r>
        <w:rPr>
          <w:rFonts w:hint="eastAsia" w:ascii="宋体" w:hAnsi="宋体"/>
          <w:color w:val="auto"/>
          <w:kern w:val="0"/>
        </w:rPr>
        <w:t>主要生产系统消耗的能源量包括从原材料、半成品、成品、检验到包装出厂范围内的整个生产过程中所消耗的各种能源量</w:t>
      </w:r>
      <w:r>
        <w:rPr>
          <w:rFonts w:hint="eastAsia" w:ascii="宋体" w:hAnsi="宋体"/>
          <w:color w:val="auto"/>
          <w:kern w:val="0"/>
          <w:lang w:eastAsia="zh-CN"/>
        </w:rPr>
        <w:t>（成品表面处理排除在核算范围之外，如镀锌、喷漆、烘干</w:t>
      </w:r>
      <w:r>
        <w:rPr>
          <w:rFonts w:hint="eastAsia" w:ascii="宋体" w:hAnsi="宋体"/>
          <w:color w:val="auto"/>
          <w:kern w:val="0"/>
          <w:lang w:val="en-US" w:eastAsia="zh-CN"/>
        </w:rPr>
        <w:t>等</w:t>
      </w:r>
      <w:r>
        <w:rPr>
          <w:rFonts w:hint="eastAsia" w:ascii="宋体" w:hAnsi="宋体"/>
          <w:color w:val="auto"/>
          <w:kern w:val="0"/>
          <w:lang w:eastAsia="zh-CN"/>
        </w:rPr>
        <w:t>）</w:t>
      </w:r>
      <w:r>
        <w:rPr>
          <w:rFonts w:hint="eastAsia" w:ascii="宋体" w:hAnsi="宋体"/>
          <w:color w:val="auto"/>
          <w:kern w:val="0"/>
        </w:rPr>
        <w:t>。</w:t>
      </w:r>
    </w:p>
    <w:p w14:paraId="542D481C">
      <w:pPr>
        <w:autoSpaceDE w:val="0"/>
        <w:autoSpaceDN w:val="0"/>
        <w:spacing w:line="360" w:lineRule="auto"/>
        <w:rPr>
          <w:rFonts w:hint="eastAsia" w:ascii="宋体" w:hAnsi="宋体"/>
          <w:color w:val="auto"/>
          <w:kern w:val="0"/>
        </w:rPr>
      </w:pPr>
      <w:r>
        <w:rPr>
          <w:rFonts w:hint="eastAsia" w:ascii="黑体" w:hAnsi="黑体" w:eastAsia="黑体"/>
          <w:color w:val="auto"/>
          <w:kern w:val="0"/>
        </w:rPr>
        <w:t>6</w:t>
      </w:r>
      <w:r>
        <w:rPr>
          <w:rFonts w:ascii="黑体" w:hAnsi="黑体" w:eastAsia="黑体"/>
          <w:color w:val="auto"/>
          <w:kern w:val="0"/>
        </w:rPr>
        <w:t>.1.4</w:t>
      </w:r>
      <w:r>
        <w:rPr>
          <w:rFonts w:hint="eastAsia"/>
          <w:color w:val="auto"/>
        </w:rPr>
        <w:t>　</w:t>
      </w:r>
      <w:r>
        <w:rPr>
          <w:rFonts w:hint="eastAsia" w:ascii="宋体" w:hAnsi="宋体"/>
          <w:color w:val="auto"/>
          <w:kern w:val="0"/>
        </w:rPr>
        <w:t>辅助生产系统消耗的能源量包括为主要生产系统配置的供热、供电、供水、供气、暖通、仓储、消防、安全、环保、物流等辅助设施所消耗的各种能源量。</w:t>
      </w:r>
    </w:p>
    <w:p w14:paraId="68342A6B">
      <w:pPr>
        <w:autoSpaceDE w:val="0"/>
        <w:autoSpaceDN w:val="0"/>
        <w:spacing w:line="360" w:lineRule="auto"/>
        <w:rPr>
          <w:rFonts w:hint="eastAsia" w:ascii="宋体" w:hAnsi="宋体"/>
          <w:color w:val="auto"/>
          <w:kern w:val="0"/>
        </w:rPr>
      </w:pPr>
      <w:r>
        <w:rPr>
          <w:rFonts w:hint="eastAsia" w:ascii="黑体" w:hAnsi="黑体" w:eastAsia="黑体"/>
          <w:color w:val="auto"/>
          <w:kern w:val="0"/>
        </w:rPr>
        <w:t>6</w:t>
      </w:r>
      <w:r>
        <w:rPr>
          <w:rFonts w:ascii="黑体" w:hAnsi="黑体" w:eastAsia="黑体"/>
          <w:color w:val="auto"/>
          <w:kern w:val="0"/>
        </w:rPr>
        <w:t>.1.5</w:t>
      </w:r>
      <w:r>
        <w:rPr>
          <w:rFonts w:hint="eastAsia"/>
          <w:color w:val="auto"/>
        </w:rPr>
        <w:t>　</w:t>
      </w:r>
      <w:r>
        <w:rPr>
          <w:rFonts w:hint="eastAsia" w:ascii="宋体" w:hAnsi="宋体"/>
          <w:color w:val="auto"/>
          <w:kern w:val="0"/>
        </w:rPr>
        <w:t>附属生产系统消耗的能源量包括为生产系统专门配置的生产指挥系统和厂界内为生产服务的办公楼、试验室、操作室、休息室等设施所消耗的各种能源量。</w:t>
      </w:r>
    </w:p>
    <w:p w14:paraId="344C3951">
      <w:pPr>
        <w:autoSpaceDE w:val="0"/>
        <w:autoSpaceDN w:val="0"/>
        <w:spacing w:line="360" w:lineRule="auto"/>
        <w:rPr>
          <w:rFonts w:hint="eastAsia" w:ascii="宋体" w:hAnsi="宋体"/>
          <w:color w:val="auto"/>
          <w:kern w:val="0"/>
        </w:rPr>
      </w:pPr>
      <w:r>
        <w:rPr>
          <w:rFonts w:hint="eastAsia" w:ascii="黑体" w:hAnsi="黑体" w:eastAsia="黑体"/>
          <w:color w:val="auto"/>
          <w:kern w:val="0"/>
        </w:rPr>
        <w:t>6</w:t>
      </w:r>
      <w:r>
        <w:rPr>
          <w:rFonts w:ascii="黑体" w:hAnsi="黑体" w:eastAsia="黑体"/>
          <w:color w:val="auto"/>
          <w:kern w:val="0"/>
        </w:rPr>
        <w:t>.1.6</w:t>
      </w:r>
      <w:r>
        <w:rPr>
          <w:rFonts w:hint="eastAsia"/>
          <w:color w:val="auto"/>
        </w:rPr>
        <w:t>　</w:t>
      </w:r>
      <w:r>
        <w:rPr>
          <w:rFonts w:hint="eastAsia" w:ascii="宋体" w:hAnsi="宋体"/>
          <w:color w:val="auto"/>
          <w:kern w:val="0"/>
          <w:sz w:val="20"/>
        </w:rPr>
        <w:t>鉴于轨道车辆</w:t>
      </w:r>
      <w:r>
        <w:rPr>
          <w:rFonts w:hint="eastAsia"/>
          <w:color w:val="auto"/>
        </w:rPr>
        <w:t>转向架</w:t>
      </w:r>
      <w:r>
        <w:rPr>
          <w:rFonts w:hint="eastAsia" w:ascii="宋体" w:hAnsi="宋体"/>
          <w:color w:val="auto"/>
          <w:kern w:val="0"/>
          <w:sz w:val="20"/>
        </w:rPr>
        <w:t>悬挂橡胶制品行业各企业间生活资源配置上的差异较大，为保证能源统计数据的合理性，本文件在附属生产系统中生活能源量（食堂、浴室和厂界内宿舍区所消耗的各种能源量）不计入统计范围。</w:t>
      </w:r>
    </w:p>
    <w:p w14:paraId="6B3FA839">
      <w:pPr>
        <w:autoSpaceDE w:val="0"/>
        <w:autoSpaceDN w:val="0"/>
        <w:spacing w:line="360" w:lineRule="auto"/>
        <w:rPr>
          <w:rFonts w:hint="eastAsia" w:ascii="宋体" w:hAnsi="宋体"/>
          <w:color w:val="auto"/>
          <w:kern w:val="0"/>
        </w:rPr>
      </w:pPr>
      <w:r>
        <w:rPr>
          <w:rFonts w:hint="eastAsia" w:ascii="黑体" w:hAnsi="黑体" w:eastAsia="黑体"/>
          <w:color w:val="auto"/>
          <w:kern w:val="0"/>
        </w:rPr>
        <w:t>6</w:t>
      </w:r>
      <w:r>
        <w:rPr>
          <w:rFonts w:ascii="黑体" w:hAnsi="黑体" w:eastAsia="黑体"/>
          <w:color w:val="auto"/>
          <w:kern w:val="0"/>
        </w:rPr>
        <w:t>.1.7</w:t>
      </w:r>
      <w:r>
        <w:rPr>
          <w:rFonts w:hint="eastAsia"/>
          <w:color w:val="auto"/>
        </w:rPr>
        <w:t>　</w:t>
      </w:r>
      <w:r>
        <w:rPr>
          <w:rFonts w:hint="eastAsia" w:ascii="宋体" w:hAnsi="宋体"/>
          <w:color w:val="auto"/>
          <w:kern w:val="0"/>
        </w:rPr>
        <w:t>轨道车辆</w:t>
      </w:r>
      <w:r>
        <w:rPr>
          <w:rFonts w:hint="eastAsia" w:ascii="宋体" w:hAnsi="宋体"/>
          <w:color w:val="auto"/>
          <w:kern w:val="0"/>
          <w:szCs w:val="20"/>
        </w:rPr>
        <w:t>转向架</w:t>
      </w:r>
      <w:r>
        <w:rPr>
          <w:rFonts w:hint="eastAsia" w:ascii="宋体" w:hAnsi="宋体"/>
          <w:color w:val="auto"/>
          <w:kern w:val="0"/>
        </w:rPr>
        <w:t>悬挂橡胶制品产量</w:t>
      </w:r>
      <w:r>
        <w:rPr>
          <w:rFonts w:hint="eastAsia" w:ascii="宋体" w:hAnsi="宋体"/>
          <w:color w:val="auto"/>
          <w:kern w:val="0"/>
          <w:lang w:val="en-US" w:eastAsia="zh-CN"/>
        </w:rPr>
        <w:t>为</w:t>
      </w:r>
      <w:r>
        <w:rPr>
          <w:rFonts w:hint="eastAsia" w:ascii="宋体" w:hAnsi="宋体"/>
          <w:color w:val="auto"/>
          <w:kern w:val="0"/>
        </w:rPr>
        <w:t>统计报告期内最终合格轨道车辆悬挂橡胶制品产品产量，不合格产品不计算产量。各种规格的轨道车辆</w:t>
      </w:r>
      <w:r>
        <w:rPr>
          <w:rFonts w:hint="eastAsia" w:ascii="宋体" w:hAnsi="宋体"/>
          <w:color w:val="auto"/>
          <w:kern w:val="0"/>
          <w:szCs w:val="20"/>
        </w:rPr>
        <w:t>转向架</w:t>
      </w:r>
      <w:r>
        <w:rPr>
          <w:rFonts w:hint="eastAsia" w:ascii="宋体" w:hAnsi="宋体"/>
          <w:color w:val="auto"/>
          <w:kern w:val="0"/>
        </w:rPr>
        <w:t>悬挂橡胶制品按实测重量以</w:t>
      </w:r>
      <w:r>
        <w:rPr>
          <w:rFonts w:hint="eastAsia" w:ascii="宋体" w:hAnsi="宋体"/>
          <w:color w:val="auto"/>
          <w:kern w:val="0"/>
          <w:lang w:val="en-US" w:eastAsia="zh-CN"/>
        </w:rPr>
        <w:t>千克</w:t>
      </w:r>
      <w:r>
        <w:rPr>
          <w:rFonts w:hint="eastAsia" w:ascii="宋体" w:hAnsi="宋体"/>
          <w:color w:val="auto"/>
          <w:kern w:val="0"/>
        </w:rPr>
        <w:t>为单位计算轨道车辆</w:t>
      </w:r>
      <w:r>
        <w:rPr>
          <w:rFonts w:hint="eastAsia"/>
          <w:color w:val="auto"/>
        </w:rPr>
        <w:t>转向架</w:t>
      </w:r>
      <w:r>
        <w:rPr>
          <w:rFonts w:hint="eastAsia" w:ascii="宋体" w:hAnsi="宋体"/>
          <w:color w:val="auto"/>
          <w:kern w:val="0"/>
        </w:rPr>
        <w:t>悬挂橡胶制品产量。</w:t>
      </w:r>
    </w:p>
    <w:p w14:paraId="04257DB5">
      <w:pPr>
        <w:autoSpaceDE w:val="0"/>
        <w:autoSpaceDN w:val="0"/>
        <w:spacing w:line="360" w:lineRule="auto"/>
        <w:rPr>
          <w:rFonts w:hint="eastAsia" w:ascii="宋体" w:hAnsi="宋体"/>
          <w:color w:val="auto"/>
          <w:kern w:val="0"/>
        </w:rPr>
      </w:pPr>
      <w:r>
        <w:rPr>
          <w:rFonts w:hint="eastAsia" w:ascii="黑体" w:hAnsi="黑体" w:eastAsia="黑体"/>
          <w:color w:val="auto"/>
          <w:kern w:val="0"/>
        </w:rPr>
        <w:t>6</w:t>
      </w:r>
      <w:r>
        <w:rPr>
          <w:rFonts w:ascii="黑体" w:hAnsi="黑体" w:eastAsia="黑体"/>
          <w:color w:val="auto"/>
          <w:kern w:val="0"/>
        </w:rPr>
        <w:t>.1.8</w:t>
      </w:r>
      <w:r>
        <w:rPr>
          <w:rFonts w:hint="eastAsia"/>
          <w:color w:val="auto"/>
        </w:rPr>
        <w:t>　</w:t>
      </w:r>
      <w:r>
        <w:rPr>
          <w:rFonts w:hint="eastAsia" w:ascii="宋体" w:hAnsi="宋体"/>
          <w:color w:val="auto"/>
          <w:kern w:val="0"/>
        </w:rPr>
        <w:t>轨道车辆</w:t>
      </w:r>
      <w:r>
        <w:rPr>
          <w:rFonts w:hint="eastAsia" w:ascii="宋体" w:hAnsi="宋体"/>
          <w:color w:val="auto"/>
          <w:kern w:val="0"/>
          <w:szCs w:val="20"/>
        </w:rPr>
        <w:t>转向架</w:t>
      </w:r>
      <w:r>
        <w:rPr>
          <w:rFonts w:hint="eastAsia" w:ascii="宋体" w:hAnsi="宋体"/>
          <w:color w:val="auto"/>
          <w:kern w:val="0"/>
        </w:rPr>
        <w:t>悬挂橡胶制品生产企业外部输入的各种原材料（包括半成品）所消耗的能源量，不计入轨道车辆</w:t>
      </w:r>
      <w:r>
        <w:rPr>
          <w:rFonts w:hint="eastAsia" w:ascii="宋体" w:hAnsi="宋体"/>
          <w:color w:val="auto"/>
          <w:kern w:val="0"/>
          <w:szCs w:val="20"/>
        </w:rPr>
        <w:t>转向架</w:t>
      </w:r>
      <w:r>
        <w:rPr>
          <w:rFonts w:hint="eastAsia" w:ascii="宋体" w:hAnsi="宋体"/>
          <w:color w:val="auto"/>
          <w:kern w:val="0"/>
        </w:rPr>
        <w:t>悬挂橡胶制品综合能耗。</w:t>
      </w:r>
    </w:p>
    <w:p w14:paraId="2D544AEB">
      <w:pPr>
        <w:autoSpaceDE w:val="0"/>
        <w:autoSpaceDN w:val="0"/>
        <w:spacing w:line="360" w:lineRule="auto"/>
        <w:rPr>
          <w:rFonts w:hint="eastAsia" w:ascii="宋体" w:hAnsi="宋体"/>
          <w:color w:val="auto"/>
          <w:kern w:val="0"/>
        </w:rPr>
      </w:pPr>
      <w:r>
        <w:rPr>
          <w:rFonts w:hint="eastAsia" w:ascii="黑体" w:hAnsi="黑体" w:eastAsia="黑体"/>
          <w:color w:val="auto"/>
          <w:kern w:val="0"/>
        </w:rPr>
        <w:t>6</w:t>
      </w:r>
      <w:r>
        <w:rPr>
          <w:rFonts w:ascii="黑体" w:hAnsi="黑体" w:eastAsia="黑体"/>
          <w:color w:val="auto"/>
          <w:kern w:val="0"/>
        </w:rPr>
        <w:t>.1.9</w:t>
      </w:r>
      <w:r>
        <w:rPr>
          <w:rFonts w:hint="eastAsia"/>
          <w:color w:val="auto"/>
        </w:rPr>
        <w:t>　</w:t>
      </w:r>
      <w:r>
        <w:rPr>
          <w:rFonts w:hint="eastAsia" w:ascii="宋体" w:hAnsi="宋体"/>
          <w:color w:val="auto"/>
          <w:kern w:val="0"/>
        </w:rPr>
        <w:t>回收利用的余热、余能，不计入轨道车辆</w:t>
      </w:r>
      <w:r>
        <w:rPr>
          <w:rFonts w:hint="eastAsia" w:ascii="宋体" w:hAnsi="宋体"/>
          <w:color w:val="auto"/>
          <w:kern w:val="0"/>
          <w:szCs w:val="20"/>
        </w:rPr>
        <w:t>转向架</w:t>
      </w:r>
      <w:r>
        <w:rPr>
          <w:rFonts w:hint="eastAsia" w:ascii="宋体" w:hAnsi="宋体"/>
          <w:color w:val="auto"/>
          <w:kern w:val="0"/>
        </w:rPr>
        <w:t>悬挂橡胶制品综合能耗中。</w:t>
      </w:r>
    </w:p>
    <w:p w14:paraId="15CADBC3">
      <w:pPr>
        <w:autoSpaceDE w:val="0"/>
        <w:autoSpaceDN w:val="0"/>
        <w:spacing w:line="360" w:lineRule="auto"/>
        <w:rPr>
          <w:rFonts w:hint="eastAsia" w:ascii="宋体" w:hAnsi="宋体"/>
          <w:color w:val="auto"/>
          <w:kern w:val="0"/>
        </w:rPr>
      </w:pPr>
      <w:r>
        <w:rPr>
          <w:rFonts w:hint="eastAsia" w:ascii="黑体" w:hAnsi="黑体" w:eastAsia="黑体"/>
          <w:color w:val="auto"/>
          <w:kern w:val="0"/>
        </w:rPr>
        <w:t>6</w:t>
      </w:r>
      <w:r>
        <w:rPr>
          <w:rFonts w:ascii="黑体" w:hAnsi="黑体" w:eastAsia="黑体"/>
          <w:color w:val="auto"/>
          <w:kern w:val="0"/>
        </w:rPr>
        <w:t>.1.10</w:t>
      </w:r>
      <w:r>
        <w:rPr>
          <w:rFonts w:hint="eastAsia"/>
          <w:color w:val="auto"/>
        </w:rPr>
        <w:t>　</w:t>
      </w:r>
      <w:r>
        <w:rPr>
          <w:rFonts w:hint="eastAsia" w:ascii="宋体" w:hAnsi="宋体"/>
          <w:color w:val="auto"/>
          <w:kern w:val="0"/>
        </w:rPr>
        <w:t>固体燃料发热量应按照G</w:t>
      </w:r>
      <w:r>
        <w:rPr>
          <w:rFonts w:ascii="宋体" w:hAnsi="宋体"/>
          <w:color w:val="auto"/>
          <w:kern w:val="0"/>
        </w:rPr>
        <w:t>B</w:t>
      </w:r>
      <w:r>
        <w:rPr>
          <w:rFonts w:hint="eastAsia" w:ascii="宋体" w:hAnsi="宋体"/>
          <w:color w:val="auto"/>
          <w:kern w:val="0"/>
        </w:rPr>
        <w:t>/</w:t>
      </w:r>
      <w:r>
        <w:rPr>
          <w:rFonts w:ascii="宋体" w:hAnsi="宋体"/>
          <w:color w:val="auto"/>
          <w:kern w:val="0"/>
        </w:rPr>
        <w:t>T</w:t>
      </w:r>
      <w:r>
        <w:rPr>
          <w:rFonts w:hint="eastAsia" w:ascii="宋体" w:hAnsi="宋体"/>
          <w:color w:val="auto"/>
          <w:kern w:val="0"/>
        </w:rPr>
        <w:t xml:space="preserve"> </w:t>
      </w:r>
      <w:r>
        <w:rPr>
          <w:rFonts w:ascii="宋体" w:hAnsi="宋体"/>
          <w:color w:val="auto"/>
          <w:kern w:val="0"/>
        </w:rPr>
        <w:t>213</w:t>
      </w:r>
      <w:r>
        <w:rPr>
          <w:rFonts w:hint="eastAsia" w:ascii="宋体" w:hAnsi="宋体"/>
          <w:color w:val="auto"/>
          <w:kern w:val="0"/>
        </w:rPr>
        <w:t>和G</w:t>
      </w:r>
      <w:r>
        <w:rPr>
          <w:rFonts w:ascii="宋体" w:hAnsi="宋体"/>
          <w:color w:val="auto"/>
          <w:kern w:val="0"/>
        </w:rPr>
        <w:t>B</w:t>
      </w:r>
      <w:r>
        <w:rPr>
          <w:rFonts w:hint="eastAsia" w:ascii="宋体" w:hAnsi="宋体"/>
          <w:color w:val="auto"/>
          <w:kern w:val="0"/>
        </w:rPr>
        <w:t>/</w:t>
      </w:r>
      <w:r>
        <w:rPr>
          <w:rFonts w:ascii="宋体" w:hAnsi="宋体"/>
          <w:color w:val="auto"/>
          <w:kern w:val="0"/>
        </w:rPr>
        <w:t>T</w:t>
      </w:r>
      <w:r>
        <w:rPr>
          <w:rFonts w:hint="eastAsia" w:ascii="宋体" w:hAnsi="宋体"/>
          <w:color w:val="auto"/>
          <w:kern w:val="0"/>
        </w:rPr>
        <w:t xml:space="preserve"> </w:t>
      </w:r>
      <w:r>
        <w:rPr>
          <w:rFonts w:ascii="宋体" w:hAnsi="宋体"/>
          <w:color w:val="auto"/>
          <w:kern w:val="0"/>
        </w:rPr>
        <w:t>30727</w:t>
      </w:r>
      <w:r>
        <w:rPr>
          <w:rFonts w:hint="eastAsia" w:ascii="宋体" w:hAnsi="宋体"/>
          <w:color w:val="auto"/>
          <w:kern w:val="0"/>
        </w:rPr>
        <w:t>的要求测定，液体燃料发热量应按照G</w:t>
      </w:r>
      <w:r>
        <w:rPr>
          <w:rFonts w:ascii="宋体" w:hAnsi="宋体"/>
          <w:color w:val="auto"/>
          <w:kern w:val="0"/>
        </w:rPr>
        <w:t>B</w:t>
      </w:r>
      <w:r>
        <w:rPr>
          <w:rFonts w:hint="eastAsia" w:ascii="宋体" w:hAnsi="宋体"/>
          <w:color w:val="auto"/>
          <w:kern w:val="0"/>
        </w:rPr>
        <w:t>/</w:t>
      </w:r>
      <w:r>
        <w:rPr>
          <w:rFonts w:ascii="宋体" w:hAnsi="宋体"/>
          <w:color w:val="auto"/>
          <w:kern w:val="0"/>
        </w:rPr>
        <w:t>T384</w:t>
      </w:r>
      <w:r>
        <w:rPr>
          <w:rFonts w:hint="eastAsia" w:ascii="宋体" w:hAnsi="宋体"/>
          <w:color w:val="auto"/>
          <w:kern w:val="0"/>
        </w:rPr>
        <w:t>的要求测定，气体燃料发热量应按照G</w:t>
      </w:r>
      <w:r>
        <w:rPr>
          <w:rFonts w:ascii="宋体" w:hAnsi="宋体"/>
          <w:color w:val="auto"/>
          <w:kern w:val="0"/>
        </w:rPr>
        <w:t>B</w:t>
      </w:r>
      <w:r>
        <w:rPr>
          <w:rFonts w:hint="eastAsia" w:ascii="宋体" w:hAnsi="宋体"/>
          <w:color w:val="auto"/>
          <w:kern w:val="0"/>
        </w:rPr>
        <w:t>/</w:t>
      </w:r>
      <w:r>
        <w:rPr>
          <w:rFonts w:ascii="宋体" w:hAnsi="宋体"/>
          <w:color w:val="auto"/>
          <w:kern w:val="0"/>
        </w:rPr>
        <w:t>T</w:t>
      </w:r>
      <w:r>
        <w:rPr>
          <w:rFonts w:hint="eastAsia" w:ascii="宋体" w:hAnsi="宋体"/>
          <w:color w:val="auto"/>
          <w:kern w:val="0"/>
        </w:rPr>
        <w:t xml:space="preserve"> </w:t>
      </w:r>
      <w:r>
        <w:rPr>
          <w:rFonts w:ascii="宋体" w:hAnsi="宋体"/>
          <w:color w:val="auto"/>
          <w:kern w:val="0"/>
        </w:rPr>
        <w:t>12206</w:t>
      </w:r>
      <w:r>
        <w:rPr>
          <w:rFonts w:hint="eastAsia" w:ascii="宋体" w:hAnsi="宋体"/>
          <w:color w:val="auto"/>
          <w:kern w:val="0"/>
        </w:rPr>
        <w:t>的要求测定。</w:t>
      </w:r>
    </w:p>
    <w:p w14:paraId="225D78C5">
      <w:pPr>
        <w:autoSpaceDE w:val="0"/>
        <w:autoSpaceDN w:val="0"/>
        <w:spacing w:line="360" w:lineRule="auto"/>
        <w:rPr>
          <w:rFonts w:hint="eastAsia" w:ascii="宋体" w:hAnsi="宋体"/>
          <w:color w:val="auto"/>
          <w:kern w:val="0"/>
        </w:rPr>
      </w:pPr>
      <w:r>
        <w:rPr>
          <w:rFonts w:hint="eastAsia" w:ascii="黑体" w:hAnsi="黑体" w:eastAsia="黑体"/>
          <w:color w:val="auto"/>
          <w:kern w:val="0"/>
        </w:rPr>
        <w:t>6</w:t>
      </w:r>
      <w:r>
        <w:rPr>
          <w:rFonts w:ascii="黑体" w:hAnsi="黑体" w:eastAsia="黑体"/>
          <w:color w:val="auto"/>
          <w:kern w:val="0"/>
        </w:rPr>
        <w:t>.1.11</w:t>
      </w:r>
      <w:r>
        <w:rPr>
          <w:rFonts w:hint="eastAsia"/>
          <w:color w:val="auto"/>
        </w:rPr>
        <w:t>　</w:t>
      </w:r>
      <w:r>
        <w:rPr>
          <w:rFonts w:hint="eastAsia" w:ascii="宋体" w:hAnsi="宋体"/>
          <w:color w:val="auto"/>
          <w:kern w:val="0"/>
        </w:rPr>
        <w:t>煤、石油、燃料油、等一次能源作为输入能源的，按实测热值计算；无实测热值的，采用附录B表B.1中给出的能源折标准煤系数计算。</w:t>
      </w:r>
    </w:p>
    <w:p w14:paraId="76EEE87E">
      <w:pPr>
        <w:autoSpaceDE w:val="0"/>
        <w:autoSpaceDN w:val="0"/>
        <w:spacing w:line="360" w:lineRule="auto"/>
        <w:rPr>
          <w:rFonts w:hint="eastAsia" w:ascii="宋体" w:hAnsi="宋体"/>
          <w:color w:val="auto"/>
          <w:kern w:val="0"/>
        </w:rPr>
      </w:pPr>
      <w:r>
        <w:rPr>
          <w:rFonts w:hint="eastAsia" w:ascii="黑体" w:hAnsi="黑体" w:eastAsia="黑体"/>
          <w:color w:val="auto"/>
          <w:kern w:val="0"/>
        </w:rPr>
        <w:t>6</w:t>
      </w:r>
      <w:r>
        <w:rPr>
          <w:rFonts w:ascii="黑体" w:hAnsi="黑体" w:eastAsia="黑体"/>
          <w:color w:val="auto"/>
          <w:kern w:val="0"/>
        </w:rPr>
        <w:t>.1.12</w:t>
      </w:r>
      <w:r>
        <w:rPr>
          <w:rFonts w:hint="eastAsia"/>
          <w:color w:val="auto"/>
        </w:rPr>
        <w:t>　</w:t>
      </w:r>
      <w:r>
        <w:rPr>
          <w:rFonts w:hint="eastAsia" w:ascii="宋体" w:hAnsi="宋体"/>
          <w:color w:val="auto"/>
          <w:kern w:val="0"/>
        </w:rPr>
        <w:t>外购热力、电按附录B表B.3中给出的能源折标准煤当量值系数计算。</w:t>
      </w:r>
    </w:p>
    <w:p w14:paraId="465A1C30">
      <w:pPr>
        <w:autoSpaceDE w:val="0"/>
        <w:autoSpaceDN w:val="0"/>
        <w:spacing w:line="360" w:lineRule="auto"/>
        <w:rPr>
          <w:rFonts w:hint="eastAsia" w:ascii="宋体" w:hAnsi="宋体"/>
          <w:color w:val="auto"/>
          <w:kern w:val="0"/>
        </w:rPr>
      </w:pPr>
      <w:r>
        <w:rPr>
          <w:rFonts w:hint="eastAsia" w:ascii="黑体" w:hAnsi="黑体" w:eastAsia="黑体"/>
          <w:color w:val="auto"/>
          <w:kern w:val="0"/>
        </w:rPr>
        <w:t>6</w:t>
      </w:r>
      <w:r>
        <w:rPr>
          <w:rFonts w:ascii="黑体" w:hAnsi="黑体" w:eastAsia="黑体"/>
          <w:color w:val="auto"/>
          <w:kern w:val="0"/>
        </w:rPr>
        <w:t>.1.13</w:t>
      </w:r>
      <w:r>
        <w:rPr>
          <w:rFonts w:hint="eastAsia"/>
          <w:color w:val="auto"/>
        </w:rPr>
        <w:t>　</w:t>
      </w:r>
      <w:r>
        <w:rPr>
          <w:rFonts w:hint="eastAsia" w:ascii="宋体" w:hAnsi="宋体"/>
          <w:color w:val="auto"/>
          <w:kern w:val="0"/>
        </w:rPr>
        <w:t>空气、氮气、水等耗能质按附录C中给出的能源折标准煤系数计算。</w:t>
      </w:r>
    </w:p>
    <w:p w14:paraId="09F8455E">
      <w:pPr>
        <w:autoSpaceDE w:val="0"/>
        <w:autoSpaceDN w:val="0"/>
        <w:spacing w:line="360" w:lineRule="auto"/>
        <w:rPr>
          <w:rFonts w:hint="eastAsia" w:ascii="宋体" w:hAnsi="宋体"/>
          <w:color w:val="auto"/>
          <w:kern w:val="0"/>
        </w:rPr>
      </w:pPr>
      <w:r>
        <w:rPr>
          <w:rFonts w:hint="eastAsia" w:ascii="黑体" w:hAnsi="黑体" w:eastAsia="黑体"/>
          <w:color w:val="auto"/>
          <w:kern w:val="0"/>
        </w:rPr>
        <w:t>6</w:t>
      </w:r>
      <w:r>
        <w:rPr>
          <w:rFonts w:ascii="黑体" w:hAnsi="黑体" w:eastAsia="黑体"/>
          <w:color w:val="auto"/>
          <w:kern w:val="0"/>
        </w:rPr>
        <w:t>.1.14</w:t>
      </w:r>
      <w:r>
        <w:rPr>
          <w:rFonts w:hint="eastAsia"/>
          <w:color w:val="auto"/>
        </w:rPr>
        <w:t>　</w:t>
      </w:r>
      <w:r>
        <w:rPr>
          <w:rFonts w:hint="eastAsia" w:ascii="宋体" w:hAnsi="宋体"/>
          <w:color w:val="auto"/>
          <w:kern w:val="0"/>
        </w:rPr>
        <w:t>辅助生产系统内消耗的汽油、柴油、液化石油气等按附录B中给出的能源折标准煤系数计算。</w:t>
      </w:r>
    </w:p>
    <w:p w14:paraId="1489D828">
      <w:pPr>
        <w:autoSpaceDE w:val="0"/>
        <w:autoSpaceDN w:val="0"/>
        <w:spacing w:line="360" w:lineRule="auto"/>
        <w:rPr>
          <w:rFonts w:hint="eastAsia" w:ascii="宋体" w:hAnsi="宋体"/>
          <w:color w:val="auto"/>
          <w:kern w:val="0"/>
        </w:rPr>
      </w:pPr>
      <w:r>
        <w:rPr>
          <w:rFonts w:hint="eastAsia" w:ascii="黑体" w:hAnsi="黑体" w:eastAsia="黑体"/>
          <w:color w:val="auto"/>
          <w:kern w:val="0"/>
        </w:rPr>
        <w:t>6</w:t>
      </w:r>
      <w:r>
        <w:rPr>
          <w:rFonts w:ascii="黑体" w:hAnsi="黑体" w:eastAsia="黑体"/>
          <w:color w:val="auto"/>
          <w:kern w:val="0"/>
        </w:rPr>
        <w:t>.1.15</w:t>
      </w:r>
      <w:r>
        <w:rPr>
          <w:rFonts w:hint="eastAsia"/>
          <w:color w:val="auto"/>
        </w:rPr>
        <w:t>　</w:t>
      </w:r>
      <w:r>
        <w:rPr>
          <w:rFonts w:hint="eastAsia" w:ascii="宋体" w:hAnsi="宋体"/>
          <w:color w:val="auto"/>
          <w:kern w:val="0"/>
        </w:rPr>
        <w:t>轨道车辆</w:t>
      </w:r>
      <w:r>
        <w:rPr>
          <w:rFonts w:hint="eastAsia" w:ascii="宋体" w:hAnsi="宋体"/>
          <w:color w:val="auto"/>
          <w:kern w:val="0"/>
          <w:szCs w:val="20"/>
        </w:rPr>
        <w:t>转向架</w:t>
      </w:r>
      <w:r>
        <w:rPr>
          <w:rFonts w:hint="eastAsia" w:ascii="宋体" w:hAnsi="宋体"/>
          <w:color w:val="auto"/>
          <w:kern w:val="0"/>
        </w:rPr>
        <w:t>悬挂橡胶制品生产企业应按照G</w:t>
      </w:r>
      <w:r>
        <w:rPr>
          <w:rFonts w:ascii="宋体" w:hAnsi="宋体"/>
          <w:color w:val="auto"/>
          <w:kern w:val="0"/>
        </w:rPr>
        <w:t>B</w:t>
      </w:r>
      <w:r>
        <w:rPr>
          <w:rFonts w:hint="eastAsia" w:ascii="宋体" w:hAnsi="宋体"/>
          <w:color w:val="auto"/>
          <w:kern w:val="0"/>
        </w:rPr>
        <w:t xml:space="preserve">/T </w:t>
      </w:r>
      <w:r>
        <w:rPr>
          <w:rFonts w:ascii="宋体" w:hAnsi="宋体"/>
          <w:color w:val="auto"/>
          <w:kern w:val="0"/>
        </w:rPr>
        <w:t>17167</w:t>
      </w:r>
      <w:r>
        <w:rPr>
          <w:rFonts w:hint="eastAsia" w:ascii="宋体" w:hAnsi="宋体"/>
          <w:color w:val="auto"/>
          <w:kern w:val="0"/>
        </w:rPr>
        <w:t>和G</w:t>
      </w:r>
      <w:r>
        <w:rPr>
          <w:rFonts w:ascii="宋体" w:hAnsi="宋体"/>
          <w:color w:val="auto"/>
          <w:kern w:val="0"/>
        </w:rPr>
        <w:t>B/T</w:t>
      </w:r>
      <w:r>
        <w:rPr>
          <w:rFonts w:hint="eastAsia" w:ascii="宋体" w:hAnsi="宋体"/>
          <w:color w:val="auto"/>
          <w:kern w:val="0"/>
        </w:rPr>
        <w:t xml:space="preserve"> </w:t>
      </w:r>
      <w:r>
        <w:rPr>
          <w:rFonts w:ascii="宋体" w:hAnsi="宋体"/>
          <w:color w:val="auto"/>
          <w:kern w:val="0"/>
        </w:rPr>
        <w:t>21367</w:t>
      </w:r>
      <w:r>
        <w:rPr>
          <w:rFonts w:hint="eastAsia" w:ascii="宋体" w:hAnsi="宋体"/>
          <w:color w:val="auto"/>
          <w:kern w:val="0"/>
        </w:rPr>
        <w:t>的要求配备能源计量器具。</w:t>
      </w:r>
    </w:p>
    <w:p w14:paraId="07362212">
      <w:pPr>
        <w:autoSpaceDE w:val="0"/>
        <w:autoSpaceDN w:val="0"/>
        <w:spacing w:line="360" w:lineRule="auto"/>
        <w:rPr>
          <w:rFonts w:hint="eastAsia" w:ascii="宋体" w:hAnsi="宋体"/>
          <w:color w:val="auto"/>
          <w:kern w:val="0"/>
        </w:rPr>
      </w:pPr>
      <w:r>
        <w:rPr>
          <w:rFonts w:hint="eastAsia" w:ascii="黑体" w:hAnsi="黑体" w:eastAsia="黑体"/>
          <w:color w:val="auto"/>
          <w:kern w:val="0"/>
        </w:rPr>
        <w:t>6</w:t>
      </w:r>
      <w:r>
        <w:rPr>
          <w:rFonts w:ascii="黑体" w:hAnsi="黑体" w:eastAsia="黑体"/>
          <w:color w:val="auto"/>
          <w:kern w:val="0"/>
        </w:rPr>
        <w:t>.1.16</w:t>
      </w:r>
      <w:r>
        <w:rPr>
          <w:rFonts w:hint="eastAsia"/>
          <w:color w:val="auto"/>
        </w:rPr>
        <w:t>　</w:t>
      </w:r>
      <w:r>
        <w:rPr>
          <w:rFonts w:hint="eastAsia" w:ascii="宋体" w:hAnsi="宋体"/>
          <w:color w:val="auto"/>
          <w:kern w:val="0"/>
        </w:rPr>
        <w:t>厂界内光伏发电、水电、风电或光热装置、生物质、垃圾等，产生的电、供热量不计入轨道车辆</w:t>
      </w:r>
      <w:r>
        <w:rPr>
          <w:rFonts w:hint="eastAsia" w:ascii="宋体" w:hAnsi="宋体"/>
          <w:color w:val="auto"/>
          <w:kern w:val="0"/>
          <w:szCs w:val="20"/>
        </w:rPr>
        <w:t>转向架</w:t>
      </w:r>
      <w:r>
        <w:rPr>
          <w:rFonts w:hint="eastAsia" w:ascii="宋体" w:hAnsi="宋体"/>
          <w:color w:val="auto"/>
          <w:kern w:val="0"/>
        </w:rPr>
        <w:t>悬挂橡胶制品生产综合能耗。</w:t>
      </w:r>
    </w:p>
    <w:p w14:paraId="42C5AE1B">
      <w:pPr>
        <w:autoSpaceDE w:val="0"/>
        <w:autoSpaceDN w:val="0"/>
        <w:spacing w:line="360" w:lineRule="auto"/>
        <w:rPr>
          <w:rFonts w:hint="eastAsia" w:ascii="宋体" w:hAnsi="宋体"/>
          <w:color w:val="auto"/>
          <w:kern w:val="0"/>
        </w:rPr>
      </w:pPr>
      <w:r>
        <w:rPr>
          <w:rFonts w:hint="eastAsia" w:ascii="黑体" w:hAnsi="黑体" w:eastAsia="黑体"/>
          <w:color w:val="auto"/>
          <w:kern w:val="0"/>
        </w:rPr>
        <w:t>6</w:t>
      </w:r>
      <w:r>
        <w:rPr>
          <w:rFonts w:ascii="黑体" w:hAnsi="黑体" w:eastAsia="黑体"/>
          <w:color w:val="auto"/>
          <w:kern w:val="0"/>
        </w:rPr>
        <w:t>.1.17</w:t>
      </w:r>
      <w:r>
        <w:rPr>
          <w:rFonts w:hint="eastAsia"/>
          <w:color w:val="auto"/>
        </w:rPr>
        <w:t>　</w:t>
      </w:r>
      <w:r>
        <w:rPr>
          <w:rFonts w:hint="eastAsia" w:ascii="宋体" w:hAnsi="宋体"/>
          <w:color w:val="auto"/>
          <w:kern w:val="0"/>
        </w:rPr>
        <w:t>厂界内可单独计量，用于轨道车辆</w:t>
      </w:r>
      <w:r>
        <w:rPr>
          <w:rFonts w:hint="eastAsia" w:ascii="宋体" w:hAnsi="宋体"/>
          <w:color w:val="auto"/>
          <w:kern w:val="0"/>
          <w:szCs w:val="20"/>
        </w:rPr>
        <w:t>转向架</w:t>
      </w:r>
      <w:r>
        <w:rPr>
          <w:rFonts w:hint="eastAsia" w:ascii="宋体" w:hAnsi="宋体"/>
          <w:color w:val="auto"/>
          <w:kern w:val="0"/>
        </w:rPr>
        <w:t>悬挂橡胶制品产品设计研发的办公、设备使用的能源量不计入轨道车辆</w:t>
      </w:r>
      <w:r>
        <w:rPr>
          <w:rFonts w:hint="eastAsia" w:ascii="宋体" w:hAnsi="宋体"/>
          <w:color w:val="auto"/>
          <w:kern w:val="0"/>
          <w:szCs w:val="20"/>
        </w:rPr>
        <w:t>转向架</w:t>
      </w:r>
      <w:r>
        <w:rPr>
          <w:rFonts w:hint="eastAsia" w:ascii="宋体" w:hAnsi="宋体"/>
          <w:color w:val="auto"/>
          <w:kern w:val="0"/>
        </w:rPr>
        <w:t>悬挂橡胶制品生产综合能耗。</w:t>
      </w:r>
    </w:p>
    <w:p w14:paraId="34B52A09">
      <w:pPr>
        <w:pStyle w:val="83"/>
        <w:numPr>
          <w:ilvl w:val="0"/>
          <w:numId w:val="9"/>
        </w:numPr>
        <w:autoSpaceDE w:val="0"/>
        <w:autoSpaceDN w:val="0"/>
        <w:spacing w:line="360" w:lineRule="auto"/>
        <w:ind w:firstLineChars="0"/>
        <w:rPr>
          <w:rFonts w:hint="eastAsia" w:ascii="黑体" w:hAnsi="黑体" w:eastAsia="黑体"/>
          <w:color w:val="auto"/>
          <w:kern w:val="0"/>
          <w:szCs w:val="21"/>
        </w:rPr>
      </w:pPr>
      <w:r>
        <w:rPr>
          <w:rFonts w:hint="eastAsia" w:ascii="黑体" w:hAnsi="黑体" w:eastAsia="黑体"/>
          <w:color w:val="auto"/>
          <w:kern w:val="0"/>
          <w:szCs w:val="21"/>
        </w:rPr>
        <w:t>6.</w:t>
      </w:r>
      <w:r>
        <w:rPr>
          <w:rFonts w:ascii="黑体" w:hAnsi="黑体" w:eastAsia="黑体"/>
          <w:color w:val="auto"/>
          <w:kern w:val="0"/>
          <w:szCs w:val="21"/>
        </w:rPr>
        <w:t>2</w:t>
      </w:r>
      <w:r>
        <w:rPr>
          <w:rFonts w:hint="eastAsia"/>
          <w:color w:val="auto"/>
        </w:rPr>
        <w:t>　</w:t>
      </w:r>
      <w:r>
        <w:rPr>
          <w:rFonts w:hint="eastAsia" w:ascii="黑体" w:hAnsi="黑体" w:eastAsia="黑体"/>
          <w:color w:val="auto"/>
          <w:kern w:val="0"/>
          <w:szCs w:val="21"/>
        </w:rPr>
        <w:t>计算方法</w:t>
      </w:r>
    </w:p>
    <w:p w14:paraId="78AFD4C1">
      <w:pPr>
        <w:autoSpaceDE w:val="0"/>
        <w:autoSpaceDN w:val="0"/>
        <w:spacing w:line="360" w:lineRule="auto"/>
        <w:rPr>
          <w:rFonts w:hint="eastAsia" w:ascii="黑体" w:hAnsi="黑体" w:eastAsia="黑体"/>
          <w:color w:val="auto"/>
          <w:kern w:val="0"/>
        </w:rPr>
      </w:pPr>
      <w:r>
        <w:t>6.2.1　工序划分</w:t>
      </w:r>
    </w:p>
    <w:p w14:paraId="53B7C562">
      <w:pPr>
        <w:autoSpaceDE w:val="0"/>
        <w:autoSpaceDN w:val="0"/>
        <w:spacing w:line="360" w:lineRule="auto"/>
        <w:rPr>
          <w:rFonts w:hint="eastAsia" w:ascii="黑体" w:hAnsi="黑体" w:eastAsia="黑体"/>
          <w:color w:val="auto"/>
          <w:kern w:val="0"/>
        </w:rPr>
      </w:pPr>
      <w:r>
        <w:t>轨道车辆转向架悬挂橡胶制品生产能耗按工序分别核算。根据工序能耗与产品的关联关系，将生产工序划分为以下三类：</w:t>
      </w:r>
    </w:p>
    <w:p w14:paraId="610A8D34">
      <w:pPr>
        <w:autoSpaceDE w:val="0"/>
        <w:autoSpaceDN w:val="0"/>
        <w:spacing w:line="360" w:lineRule="auto"/>
        <w:rPr>
          <w:rFonts w:hint="eastAsia" w:ascii="黑体" w:hAnsi="黑体" w:eastAsia="黑体"/>
          <w:color w:val="auto"/>
          <w:kern w:val="0"/>
        </w:rPr>
      </w:pPr>
      <w:r>
        <w:t xml:space="preserve">a) </w:t>
      </w:r>
      <w:r>
        <w:rPr>
          <w:rFonts w:hint="eastAsia"/>
          <w:lang w:eastAsia="zh-CN"/>
        </w:rPr>
        <w:t>时间相关型</w:t>
      </w:r>
      <w:r>
        <w:t>工序：金属件脱脂、产品硫化及配套蒸汽/天然气等与工艺时长强相关的工序；</w:t>
      </w:r>
    </w:p>
    <w:p w14:paraId="0896024C">
      <w:pPr>
        <w:autoSpaceDE w:val="0"/>
        <w:autoSpaceDN w:val="0"/>
        <w:spacing w:line="360" w:lineRule="auto"/>
        <w:rPr>
          <w:rFonts w:hint="eastAsia" w:ascii="黑体" w:hAnsi="黑体" w:eastAsia="黑体"/>
          <w:color w:val="auto"/>
          <w:kern w:val="0"/>
        </w:rPr>
      </w:pPr>
      <w:r>
        <w:t xml:space="preserve">b) </w:t>
      </w:r>
      <w:r>
        <w:rPr>
          <w:rFonts w:hint="eastAsia"/>
          <w:lang w:eastAsia="zh-CN"/>
        </w:rPr>
        <w:t>重量相关型</w:t>
      </w:r>
      <w:r>
        <w:t>工序：炼胶、混炼等与橡胶投料重量强相关的工序；</w:t>
      </w:r>
    </w:p>
    <w:p w14:paraId="663B95E0">
      <w:pPr>
        <w:autoSpaceDE w:val="0"/>
        <w:autoSpaceDN w:val="0"/>
        <w:spacing w:line="360" w:lineRule="auto"/>
        <w:rPr>
          <w:rFonts w:hint="eastAsia" w:ascii="黑体" w:hAnsi="黑体" w:eastAsia="黑体"/>
          <w:color w:val="auto"/>
          <w:kern w:val="0"/>
        </w:rPr>
      </w:pPr>
      <w:r>
        <w:t>c) 均摊型</w:t>
      </w:r>
      <w:r>
        <w:rPr>
          <w:rFonts w:hint="eastAsia"/>
          <w:lang w:val="en-US" w:eastAsia="zh-CN"/>
        </w:rPr>
        <w:t>工序</w:t>
      </w:r>
      <w:r>
        <w:t>：修边、装配、成品检测等后处理工序，以及空压站、制冷站、锅炉房、污水处理、生产照明、物流转运等公共辅助与附属设施能耗。</w:t>
      </w:r>
    </w:p>
    <w:p w14:paraId="639AC718">
      <w:pPr>
        <w:autoSpaceDE w:val="0"/>
        <w:autoSpaceDN w:val="0"/>
        <w:spacing w:line="360" w:lineRule="auto"/>
        <w:rPr>
          <w:rFonts w:hint="eastAsia" w:ascii="黑体" w:hAnsi="黑体" w:eastAsia="黑体"/>
          <w:color w:val="auto"/>
          <w:kern w:val="0"/>
        </w:rPr>
      </w:pPr>
      <w:r>
        <w:t>6.2.2　</w:t>
      </w:r>
      <w:r>
        <w:rPr>
          <w:rFonts w:hint="eastAsia"/>
          <w:lang w:eastAsia="zh-CN"/>
        </w:rPr>
        <w:t>时间相关型</w:t>
      </w:r>
      <w:r>
        <w:t>工序能耗</w:t>
      </w:r>
    </w:p>
    <w:p w14:paraId="78836110">
      <w:pPr>
        <w:autoSpaceDE w:val="0"/>
        <w:autoSpaceDN w:val="0"/>
        <w:spacing w:line="360" w:lineRule="auto"/>
        <w:rPr>
          <w:rFonts w:hint="eastAsia" w:ascii="黑体" w:hAnsi="黑体" w:eastAsia="黑体"/>
          <w:color w:val="auto"/>
          <w:kern w:val="0"/>
        </w:rPr>
      </w:pPr>
      <w:r>
        <w:t>单件产品第i项</w:t>
      </w:r>
      <w:r>
        <w:rPr>
          <w:rFonts w:hint="eastAsia"/>
          <w:lang w:eastAsia="zh-CN"/>
        </w:rPr>
        <w:t>时间相关型</w:t>
      </w:r>
      <w:r>
        <w:t>工序能耗按式（1）计算：</w:t>
      </w:r>
    </w:p>
    <w:p w14:paraId="3D5025BC">
      <w:pPr>
        <w:keepNext w:val="0"/>
        <w:keepLines w:val="0"/>
        <w:pageBreakBefore w:val="0"/>
        <w:widowControl w:val="0"/>
        <w:tabs>
          <w:tab w:val="center" w:pos="4535"/>
          <w:tab w:val="right" w:pos="9071"/>
        </w:tabs>
        <w:kinsoku/>
        <w:wordWrap/>
        <w:overflowPunct/>
        <w:topLinePunct w:val="0"/>
        <w:autoSpaceDE w:val="0"/>
        <w:autoSpaceDN w:val="0"/>
        <w:bidi w:val="0"/>
        <w:adjustRightInd w:val="0"/>
        <w:snapToGrid/>
        <w:spacing w:line="360" w:lineRule="auto"/>
        <w:textAlignment w:val="auto"/>
        <w:rPr>
          <w:rFonts w:hint="eastAsia" w:eastAsia="宋体"/>
          <w:i w:val="0"/>
          <w:lang w:val="en-US" w:eastAsia="zh-CN"/>
        </w:rPr>
      </w:pPr>
      <w:r>
        <w:rPr>
          <w:rFonts w:hint="eastAsia"/>
          <w:i w:val="0"/>
          <w:lang w:val="en-US" w:eastAsia="zh-CN"/>
        </w:rPr>
        <w:tab/>
      </w:r>
      <m:oMath>
        <m:m>
          <m:mPr>
            <m:mcs>
              <m:mc>
                <m:mcPr>
                  <m:count m:val="1"/>
                  <m:mcJc m:val="center"/>
                </m:mcPr>
              </m:mc>
            </m:mcs>
          </m:mPr>
          <m:mr>
            <m:e>
              <m:sSub>
                <m:sSubPr/>
                <m:e>
                  <m:r>
                    <m:rPr/>
                    <w:rPr>
                      <w:rFonts w:ascii="Cambria Math" w:hAnsi="Cambria Math"/>
                    </w:rPr>
                    <m:t>e</m:t>
                  </m:r>
                </m:e>
                <m:sub>
                  <m:r>
                    <m:rPr/>
                    <w:rPr>
                      <w:rFonts w:ascii="Cambria Math" w:hAnsi="Cambria Math"/>
                    </w:rPr>
                    <m:t>s,i</m:t>
                  </m:r>
                </m:sub>
              </m:sSub>
              <m:r>
                <m:rPr/>
                <w:rPr>
                  <w:rFonts w:ascii="Cambria Math" w:hAnsi="Cambria Math"/>
                </w:rPr>
                <m:t>=</m:t>
              </m:r>
              <m:sSub>
                <m:sSubPr/>
                <m:e>
                  <m:r>
                    <m:rPr/>
                    <w:rPr>
                      <w:rFonts w:ascii="Cambria Math" w:hAnsi="Cambria Math"/>
                    </w:rPr>
                    <m:t>P</m:t>
                  </m:r>
                </m:e>
                <m:sub>
                  <m:r>
                    <m:rPr/>
                    <w:rPr>
                      <w:rFonts w:ascii="Cambria Math" w:hAnsi="Cambria Math"/>
                    </w:rPr>
                    <m:t>s,i</m:t>
                  </m:r>
                </m:sub>
              </m:sSub>
              <m:r>
                <m:rPr/>
                <w:rPr>
                  <w:rFonts w:ascii="Cambria Math" w:hAnsi="Cambria Math"/>
                </w:rPr>
                <m:t>×</m:t>
              </m:r>
              <m:sSub>
                <m:sSubPr/>
                <m:e>
                  <m:r>
                    <m:rPr/>
                    <w:rPr>
                      <w:rFonts w:ascii="Cambria Math" w:hAnsi="Cambria Math"/>
                    </w:rPr>
                    <m:t>t</m:t>
                  </m:r>
                </m:e>
                <m:sub>
                  <m:r>
                    <m:rPr/>
                    <w:rPr>
                      <w:rFonts w:ascii="Cambria Math" w:hAnsi="Cambria Math"/>
                    </w:rPr>
                    <m:t>s,i</m:t>
                  </m:r>
                </m:sub>
              </m:sSub>
            </m:e>
          </m:mr>
        </m:m>
      </m:oMath>
      <w:r>
        <w:rPr>
          <w:rFonts w:hint="eastAsia"/>
          <w:i w:val="0"/>
          <w:lang w:val="en-US" w:eastAsia="zh-CN"/>
        </w:rPr>
        <w:tab/>
      </w:r>
      <w:r>
        <w:rPr>
          <w:rFonts w:hint="eastAsia"/>
          <w:i w:val="0"/>
          <w:lang w:val="en-US" w:eastAsia="zh-CN"/>
        </w:rPr>
        <w:t>（1）</w:t>
      </w:r>
    </w:p>
    <w:p w14:paraId="70979AB4">
      <w:pPr>
        <w:autoSpaceDE w:val="0"/>
        <w:autoSpaceDN w:val="0"/>
        <w:spacing w:line="360" w:lineRule="auto"/>
        <w:rPr>
          <w:rFonts w:hint="eastAsia" w:ascii="黑体" w:hAnsi="黑体" w:eastAsia="黑体"/>
          <w:color w:val="auto"/>
          <w:kern w:val="0"/>
        </w:rPr>
      </w:pPr>
      <w:r>
        <w:t>式中：</w:t>
      </w:r>
    </w:p>
    <w:p w14:paraId="569A8A90">
      <w:pPr>
        <w:autoSpaceDE w:val="0"/>
        <w:autoSpaceDN w:val="0"/>
        <w:spacing w:line="360" w:lineRule="auto"/>
        <w:rPr>
          <w:rFonts w:hint="eastAsia" w:ascii="黑体" w:hAnsi="黑体" w:eastAsia="黑体"/>
          <w:color w:val="auto"/>
          <w:kern w:val="0"/>
        </w:rPr>
      </w:pPr>
      <m:oMath>
        <m:sSub>
          <m:sSubPr/>
          <m:e>
            <m:r>
              <m:rPr/>
              <w:rPr>
                <w:rFonts w:ascii="Cambria Math" w:hAnsi="Cambria Math"/>
              </w:rPr>
              <m:t>e</m:t>
            </m:r>
          </m:e>
          <m:sub>
            <m:r>
              <m:rPr/>
              <w:rPr>
                <w:rFonts w:ascii="Cambria Math" w:hAnsi="Cambria Math"/>
              </w:rPr>
              <m:t>s,i</m:t>
            </m:r>
          </m:sub>
        </m:sSub>
      </m:oMath>
      <w:r>
        <w:t>——单件产品第i项</w:t>
      </w:r>
      <w:r>
        <w:rPr>
          <w:rFonts w:hint="eastAsia"/>
          <w:lang w:eastAsia="zh-CN"/>
        </w:rPr>
        <w:t>时间相关型</w:t>
      </w:r>
      <w:r>
        <w:t>工序能耗，单位为千克标准煤（kgce）；</w:t>
      </w:r>
    </w:p>
    <w:p w14:paraId="3A831636">
      <w:pPr>
        <w:autoSpaceDE w:val="0"/>
        <w:autoSpaceDN w:val="0"/>
        <w:spacing w:line="360" w:lineRule="auto"/>
        <w:rPr>
          <w:rFonts w:hint="eastAsia" w:ascii="黑体" w:hAnsi="黑体" w:eastAsia="黑体"/>
          <w:color w:val="auto"/>
          <w:kern w:val="0"/>
        </w:rPr>
      </w:pPr>
      <m:oMath>
        <m:sSub>
          <m:sSubPr/>
          <m:e>
            <m:r>
              <m:rPr/>
              <w:rPr>
                <w:rFonts w:ascii="Cambria Math" w:hAnsi="Cambria Math"/>
              </w:rPr>
              <m:t>P</m:t>
            </m:r>
          </m:e>
          <m:sub>
            <m:r>
              <m:rPr/>
              <w:rPr>
                <w:rFonts w:ascii="Cambria Math" w:hAnsi="Cambria Math"/>
              </w:rPr>
              <m:t>s,i</m:t>
            </m:r>
          </m:sub>
        </m:sSub>
      </m:oMath>
      <w:r>
        <w:t>——对应设备或能源的单位时间能耗，单位为千克标准煤每</w:t>
      </w:r>
      <w:r>
        <w:rPr>
          <w:rFonts w:hint="eastAsia"/>
          <w:lang w:val="en-US" w:eastAsia="zh-CN"/>
        </w:rPr>
        <w:t>分钟</w:t>
      </w:r>
      <w:r>
        <w:t>（kgce/</w:t>
      </w:r>
      <w:r>
        <w:rPr>
          <w:rFonts w:hint="eastAsia"/>
          <w:lang w:val="en-US" w:eastAsia="zh-CN"/>
        </w:rPr>
        <w:t>min</w:t>
      </w:r>
      <w:r>
        <w:t>）；</w:t>
      </w:r>
    </w:p>
    <w:p w14:paraId="57BE208D">
      <w:pPr>
        <w:autoSpaceDE w:val="0"/>
        <w:autoSpaceDN w:val="0"/>
        <w:spacing w:line="360" w:lineRule="auto"/>
        <w:rPr>
          <w:rFonts w:hint="eastAsia" w:ascii="黑体" w:hAnsi="黑体" w:eastAsia="黑体"/>
          <w:color w:val="auto"/>
          <w:kern w:val="0"/>
        </w:rPr>
      </w:pPr>
      <m:oMath>
        <m:sSub>
          <m:sSubPr/>
          <m:e>
            <m:r>
              <m:rPr/>
              <w:rPr>
                <w:rFonts w:ascii="Cambria Math" w:hAnsi="Cambria Math"/>
              </w:rPr>
              <m:t>t</m:t>
            </m:r>
          </m:e>
          <m:sub>
            <m:r>
              <m:rPr/>
              <w:rPr>
                <w:rFonts w:ascii="Cambria Math" w:hAnsi="Cambria Math"/>
              </w:rPr>
              <m:t>s,i</m:t>
            </m:r>
          </m:sub>
        </m:sSub>
      </m:oMath>
      <w:r>
        <w:t>——单件产品有效工艺加工时长，单位为</w:t>
      </w:r>
      <w:r>
        <w:rPr>
          <w:rFonts w:hint="eastAsia"/>
          <w:lang w:val="en-US" w:eastAsia="zh-CN"/>
        </w:rPr>
        <w:t>分钟</w:t>
      </w:r>
      <w:r>
        <w:t>（</w:t>
      </w:r>
      <w:r>
        <w:rPr>
          <w:rFonts w:hint="eastAsia"/>
          <w:lang w:val="en-US" w:eastAsia="zh-CN"/>
        </w:rPr>
        <w:t>min</w:t>
      </w:r>
      <w:r>
        <w:t>）。</w:t>
      </w:r>
    </w:p>
    <w:p w14:paraId="1057A4C7">
      <w:pPr>
        <w:autoSpaceDE w:val="0"/>
        <w:autoSpaceDN w:val="0"/>
        <w:spacing w:line="360" w:lineRule="auto"/>
        <w:rPr>
          <w:rFonts w:hint="eastAsia" w:ascii="黑体" w:hAnsi="黑体" w:eastAsia="黑体"/>
          <w:color w:val="auto"/>
          <w:kern w:val="0"/>
        </w:rPr>
      </w:pPr>
      <w:r>
        <w:t>6.2.3　</w:t>
      </w:r>
      <w:r>
        <w:rPr>
          <w:rFonts w:hint="eastAsia"/>
          <w:lang w:eastAsia="zh-CN"/>
        </w:rPr>
        <w:t>重量相关型</w:t>
      </w:r>
      <w:r>
        <w:t>工序能耗</w:t>
      </w:r>
    </w:p>
    <w:p w14:paraId="02B52810">
      <w:pPr>
        <w:autoSpaceDE w:val="0"/>
        <w:autoSpaceDN w:val="0"/>
        <w:spacing w:line="360" w:lineRule="auto"/>
        <w:rPr>
          <w:rFonts w:hint="eastAsia" w:ascii="黑体" w:hAnsi="黑体" w:eastAsia="黑体"/>
          <w:color w:val="auto"/>
          <w:kern w:val="0"/>
        </w:rPr>
      </w:pPr>
      <w:r>
        <w:t>单件产品</w:t>
      </w:r>
      <w:r>
        <w:rPr>
          <w:rFonts w:hint="eastAsia"/>
          <w:lang w:eastAsia="zh-CN"/>
        </w:rPr>
        <w:t>重量相关型</w:t>
      </w:r>
      <w:r>
        <w:t>工序能耗按式（2）计算：</w:t>
      </w:r>
    </w:p>
    <w:p w14:paraId="25BB579E">
      <w:pPr>
        <w:pStyle w:val="94"/>
        <w:bidi w:val="0"/>
        <w:rPr>
          <w:rFonts w:hint="eastAsia" w:eastAsia="宋体"/>
          <w:lang w:val="en-US" w:eastAsia="zh-CN"/>
        </w:rPr>
      </w:pPr>
      <w:r>
        <w:rPr>
          <w:rFonts w:hint="eastAsia"/>
          <w:i w:val="0"/>
          <w:lang w:val="en-US" w:eastAsia="zh-CN"/>
        </w:rPr>
        <w:tab/>
      </w:r>
      <m:oMath>
        <m:m>
          <m:mPr>
            <m:mcs>
              <m:mc>
                <m:mcPr>
                  <m:count m:val="1"/>
                  <m:mcJc m:val="center"/>
                </m:mcPr>
              </m:mc>
            </m:mcs>
          </m:mPr>
          <m:mr>
            <m:e>
              <m:sSub>
                <m:sSubPr/>
                <m:e>
                  <m:r>
                    <m:rPr>
                      <m:sty m:val="p"/>
                    </m:rPr>
                    <w:rPr>
                      <w:rFonts w:ascii="Times New Roman" w:hAnsi="Times New Roman"/>
                    </w:rPr>
                    <m:t>e</m:t>
                  </m:r>
                </m:e>
                <m:sub>
                  <m:r>
                    <m:rPr>
                      <m:sty m:val="p"/>
                    </m:rPr>
                    <w:rPr>
                      <w:rFonts w:ascii="Times New Roman" w:hAnsi="Times New Roman"/>
                    </w:rPr>
                    <m:t>w</m:t>
                  </m:r>
                </m:sub>
              </m:sSub>
              <m:r>
                <m:rPr>
                  <m:sty m:val="p"/>
                </m:rPr>
                <w:rPr>
                  <w:rFonts w:ascii="Times New Roman" w:hAnsi="Times New Roman"/>
                </w:rPr>
                <m:t>=</m:t>
              </m:r>
              <m:sSub>
                <m:sSubPr/>
                <m:e>
                  <m:r>
                    <m:rPr>
                      <m:sty m:val="p"/>
                    </m:rPr>
                    <w:rPr>
                      <w:rFonts w:ascii="Times New Roman" w:hAnsi="Times New Roman"/>
                    </w:rPr>
                    <m:t>P</m:t>
                  </m:r>
                </m:e>
                <m:sub>
                  <m:r>
                    <m:rPr>
                      <m:sty m:val="p"/>
                    </m:rPr>
                    <w:rPr>
                      <w:rFonts w:ascii="Times New Roman" w:hAnsi="Times New Roman"/>
                    </w:rPr>
                    <m:t>w</m:t>
                  </m:r>
                </m:sub>
              </m:sSub>
              <m:r>
                <m:rPr>
                  <m:sty m:val="p"/>
                </m:rPr>
                <w:rPr>
                  <w:rFonts w:ascii="Times New Roman" w:hAnsi="Times New Roman"/>
                </w:rPr>
                <m:t>×</m:t>
              </m:r>
              <m:sSub>
                <m:sSubPr/>
                <m:e>
                  <m:r>
                    <m:rPr>
                      <m:sty m:val="p"/>
                    </m:rPr>
                    <w:rPr>
                      <w:rFonts w:ascii="Times New Roman" w:hAnsi="Times New Roman"/>
                    </w:rPr>
                    <m:t>m</m:t>
                  </m:r>
                </m:e>
                <m:sub>
                  <m:r>
                    <m:rPr>
                      <m:sty m:val="p"/>
                    </m:rPr>
                    <w:rPr>
                      <w:rFonts w:ascii="Times New Roman" w:hAnsi="Times New Roman"/>
                    </w:rPr>
                    <m:t>w</m:t>
                  </m:r>
                </m:sub>
              </m:sSub>
            </m:e>
          </m:mr>
        </m:m>
      </m:oMath>
      <w:r>
        <w:rPr>
          <w:rFonts w:hint="eastAsia"/>
          <w:i w:val="0"/>
          <w:lang w:val="en-US" w:eastAsia="zh-CN"/>
        </w:rPr>
        <w:tab/>
      </w:r>
      <w:r>
        <w:rPr>
          <w:rFonts w:hint="eastAsia"/>
          <w:i w:val="0"/>
          <w:lang w:val="en-US" w:eastAsia="zh-CN"/>
        </w:rPr>
        <w:t>（2）</w:t>
      </w:r>
    </w:p>
    <w:p w14:paraId="1BD384C1">
      <w:pPr>
        <w:autoSpaceDE w:val="0"/>
        <w:autoSpaceDN w:val="0"/>
        <w:spacing w:line="360" w:lineRule="auto"/>
        <w:rPr>
          <w:rFonts w:hint="eastAsia" w:ascii="黑体" w:hAnsi="黑体" w:eastAsia="黑体"/>
          <w:color w:val="auto"/>
          <w:kern w:val="0"/>
        </w:rPr>
      </w:pPr>
      <w:r>
        <w:t>式中：</w:t>
      </w:r>
    </w:p>
    <w:p w14:paraId="5B872874">
      <w:pPr>
        <w:autoSpaceDE w:val="0"/>
        <w:autoSpaceDN w:val="0"/>
        <w:spacing w:line="360" w:lineRule="auto"/>
        <w:rPr>
          <w:rFonts w:hint="eastAsia" w:ascii="黑体" w:hAnsi="黑体" w:eastAsia="黑体"/>
          <w:color w:val="auto"/>
          <w:kern w:val="0"/>
        </w:rPr>
      </w:pPr>
      <m:oMath>
        <m:sSub>
          <m:sSubPr/>
          <m:e>
            <m:r>
              <m:rPr/>
              <w:rPr>
                <w:rFonts w:ascii="Cambria Math" w:hAnsi="Cambria Math"/>
              </w:rPr>
              <m:t>e</m:t>
            </m:r>
          </m:e>
          <m:sub>
            <m:r>
              <m:rPr/>
              <w:rPr>
                <w:rFonts w:ascii="Cambria Math" w:hAnsi="Cambria Math"/>
              </w:rPr>
              <m:t>w</m:t>
            </m:r>
          </m:sub>
        </m:sSub>
      </m:oMath>
      <w:r>
        <w:t>——单件产品炼胶混炼工序能耗，单位为千克标准煤（kgce）；</w:t>
      </w:r>
    </w:p>
    <w:p w14:paraId="5012A44D">
      <w:pPr>
        <w:autoSpaceDE w:val="0"/>
        <w:autoSpaceDN w:val="0"/>
        <w:spacing w:line="360" w:lineRule="auto"/>
        <w:rPr>
          <w:rFonts w:hint="eastAsia" w:ascii="黑体" w:hAnsi="黑体" w:eastAsia="黑体"/>
          <w:color w:val="auto"/>
          <w:kern w:val="0"/>
        </w:rPr>
      </w:pPr>
      <m:oMath>
        <m:sSub>
          <m:sSubPr/>
          <m:e>
            <m:r>
              <m:rPr/>
              <w:rPr>
                <w:rFonts w:ascii="Cambria Math" w:hAnsi="Cambria Math"/>
              </w:rPr>
              <m:t>P</m:t>
            </m:r>
          </m:e>
          <m:sub>
            <m:r>
              <m:rPr/>
              <w:rPr>
                <w:rFonts w:ascii="Cambria Math" w:hAnsi="Cambria Math"/>
              </w:rPr>
              <m:t>w</m:t>
            </m:r>
          </m:sub>
        </m:sSub>
      </m:oMath>
      <w:r>
        <w:t>——胶料单位重量能耗，单位为千克标准煤每千克（kgce/kg）；</w:t>
      </w:r>
    </w:p>
    <w:p w14:paraId="6EEAEE54">
      <w:pPr>
        <w:autoSpaceDE w:val="0"/>
        <w:autoSpaceDN w:val="0"/>
        <w:spacing w:line="360" w:lineRule="auto"/>
        <w:rPr>
          <w:rFonts w:hint="eastAsia" w:ascii="黑体" w:hAnsi="黑体" w:eastAsia="黑体"/>
          <w:color w:val="auto"/>
          <w:kern w:val="0"/>
        </w:rPr>
      </w:pPr>
      <m:oMath>
        <m:sSub>
          <m:sSubPr/>
          <m:e>
            <m:r>
              <m:rPr/>
              <w:rPr>
                <w:rFonts w:ascii="Cambria Math" w:hAnsi="Cambria Math"/>
              </w:rPr>
              <m:t>m</m:t>
            </m:r>
          </m:e>
          <m:sub>
            <m:r>
              <m:rPr/>
              <w:rPr>
                <w:rFonts w:ascii="Cambria Math" w:hAnsi="Cambria Math"/>
              </w:rPr>
              <m:t>w</m:t>
            </m:r>
          </m:sub>
        </m:sSub>
      </m:oMath>
      <w:r>
        <w:t>——单件产品对应橡胶投料净重，单位为千克（kg）。</w:t>
      </w:r>
    </w:p>
    <w:p w14:paraId="09FE4347">
      <w:pPr>
        <w:autoSpaceDE w:val="0"/>
        <w:autoSpaceDN w:val="0"/>
        <w:spacing w:line="360" w:lineRule="auto"/>
        <w:rPr>
          <w:rFonts w:hint="eastAsia" w:ascii="黑体" w:hAnsi="黑体" w:eastAsia="黑体"/>
          <w:color w:val="auto"/>
          <w:kern w:val="0"/>
        </w:rPr>
      </w:pPr>
      <w:r>
        <w:t>6.2.4　均摊型能耗</w:t>
      </w:r>
    </w:p>
    <w:p w14:paraId="6D86D2E2">
      <w:pPr>
        <w:autoSpaceDE w:val="0"/>
        <w:autoSpaceDN w:val="0"/>
        <w:spacing w:line="360" w:lineRule="auto"/>
      </w:pPr>
      <w:r>
        <w:t>单件产品分摊的时段均摊型能耗按式（3）计算：</w:t>
      </w:r>
    </w:p>
    <w:p w14:paraId="134B8419">
      <w:pPr>
        <w:pStyle w:val="94"/>
        <w:bidi w:val="0"/>
        <w:rPr>
          <w:rFonts w:hint="eastAsia" w:eastAsia="宋体"/>
          <w:lang w:val="en-US" w:eastAsia="zh-CN"/>
        </w:rPr>
      </w:pPr>
      <w:r>
        <w:rPr>
          <w:rFonts w:hint="eastAsia"/>
          <w:i w:val="0"/>
          <w:lang w:val="en-US" w:eastAsia="zh-CN"/>
        </w:rPr>
        <w:tab/>
      </w:r>
      <m:oMath>
        <m:m>
          <m:mPr>
            <m:mcs>
              <m:mc>
                <m:mcPr>
                  <m:count m:val="1"/>
                  <m:mcJc m:val="center"/>
                </m:mcPr>
              </m:mc>
            </m:mcs>
          </m:mPr>
          <m:mr>
            <m:e>
              <m:sSub>
                <m:sSubPr/>
                <m:e>
                  <m:r>
                    <m:rPr>
                      <m:sty m:val="p"/>
                    </m:rPr>
                    <w:rPr>
                      <w:rFonts w:ascii="Times New Roman" w:hAnsi="Times New Roman"/>
                    </w:rPr>
                    <m:t>e</m:t>
                  </m:r>
                </m:e>
                <m:sub>
                  <m:r>
                    <m:rPr>
                      <m:sty m:val="p"/>
                    </m:rPr>
                    <w:rPr>
                      <w:rFonts w:ascii="Times New Roman" w:hAnsi="Times New Roman"/>
                    </w:rPr>
                    <m:t>a</m:t>
                  </m:r>
                </m:sub>
              </m:sSub>
              <m:r>
                <m:rPr>
                  <m:sty m:val="p"/>
                </m:rPr>
                <w:rPr>
                  <w:rFonts w:ascii="Times New Roman" w:hAnsi="Times New Roman"/>
                </w:rPr>
                <m:t>=</m:t>
              </m:r>
              <m:f>
                <m:fPr/>
                <m:num>
                  <m:sSub>
                    <m:sSubPr/>
                    <m:e>
                      <m:r>
                        <m:rPr>
                          <m:sty m:val="p"/>
                        </m:rPr>
                        <w:rPr>
                          <w:rFonts w:ascii="Times New Roman" w:hAnsi="Times New Roman"/>
                        </w:rPr>
                        <m:t>E</m:t>
                      </m:r>
                    </m:e>
                    <m:sub>
                      <m:r>
                        <m:rPr>
                          <m:sty m:val="p"/>
                        </m:rPr>
                        <w:rPr>
                          <w:rFonts w:ascii="Times New Roman" w:hAnsi="Times New Roman"/>
                        </w:rPr>
                        <m:t>a</m:t>
                      </m:r>
                    </m:sub>
                  </m:sSub>
                </m:num>
                <m:den>
                  <m:sSub>
                    <m:sSubPr/>
                    <m:e>
                      <m:r>
                        <m:rPr>
                          <m:sty m:val="p"/>
                        </m:rPr>
                        <w:rPr>
                          <w:rFonts w:ascii="Times New Roman" w:hAnsi="Times New Roman"/>
                        </w:rPr>
                        <m:t>Q</m:t>
                      </m:r>
                    </m:e>
                    <m:sub>
                      <m:r>
                        <m:rPr>
                          <m:sty m:val="p"/>
                        </m:rPr>
                        <w:rPr>
                          <w:rFonts w:ascii="Times New Roman" w:hAnsi="Times New Roman"/>
                        </w:rPr>
                        <m:t>a</m:t>
                      </m:r>
                    </m:sub>
                  </m:sSub>
                </m:den>
              </m:f>
            </m:e>
          </m:mr>
        </m:m>
      </m:oMath>
      <w:r>
        <w:rPr>
          <w:rFonts w:hint="eastAsia"/>
          <w:i w:val="0"/>
          <w:lang w:val="en-US" w:eastAsia="zh-CN"/>
        </w:rPr>
        <w:tab/>
      </w:r>
      <w:r>
        <w:rPr>
          <w:rFonts w:hint="eastAsia"/>
          <w:i w:val="0"/>
          <w:lang w:val="en-US" w:eastAsia="zh-CN"/>
        </w:rPr>
        <w:t>（3）</w:t>
      </w:r>
    </w:p>
    <w:p w14:paraId="5081E230">
      <w:pPr>
        <w:autoSpaceDE w:val="0"/>
        <w:autoSpaceDN w:val="0"/>
        <w:spacing w:line="360" w:lineRule="auto"/>
        <w:rPr>
          <w:rFonts w:hint="eastAsia" w:ascii="黑体" w:hAnsi="黑体" w:eastAsia="黑体"/>
          <w:color w:val="auto"/>
          <w:kern w:val="0"/>
        </w:rPr>
      </w:pPr>
      <w:r>
        <w:t>式中：</w:t>
      </w:r>
    </w:p>
    <w:p w14:paraId="2761CD56">
      <w:pPr>
        <w:autoSpaceDE w:val="0"/>
        <w:autoSpaceDN w:val="0"/>
        <w:spacing w:line="360" w:lineRule="auto"/>
        <w:rPr>
          <w:rFonts w:hint="eastAsia" w:ascii="黑体" w:hAnsi="黑体" w:eastAsia="黑体"/>
          <w:color w:val="auto"/>
          <w:kern w:val="0"/>
        </w:rPr>
      </w:pPr>
      <m:oMath>
        <m:sSub>
          <m:sSubPr/>
          <m:e>
            <m:r>
              <m:rPr/>
              <w:rPr>
                <w:rFonts w:ascii="Cambria Math" w:hAnsi="Cambria Math"/>
              </w:rPr>
              <m:t>e</m:t>
            </m:r>
          </m:e>
          <m:sub>
            <m:r>
              <m:rPr/>
              <w:rPr>
                <w:rFonts w:ascii="Cambria Math" w:hAnsi="Cambria Math"/>
              </w:rPr>
              <m:t>a</m:t>
            </m:r>
          </m:sub>
        </m:sSub>
      </m:oMath>
      <w:r>
        <w:t>——单件产品分摊的时段均摊型能耗，单位为千克标准煤（kgce）；</w:t>
      </w:r>
    </w:p>
    <w:p w14:paraId="4B23A733">
      <w:pPr>
        <w:autoSpaceDE w:val="0"/>
        <w:autoSpaceDN w:val="0"/>
        <w:spacing w:line="360" w:lineRule="auto"/>
        <w:rPr>
          <w:rFonts w:hint="eastAsia" w:ascii="黑体" w:hAnsi="黑体" w:eastAsia="黑体"/>
          <w:color w:val="auto"/>
          <w:kern w:val="0"/>
        </w:rPr>
      </w:pPr>
      <m:oMath>
        <m:sSub>
          <m:sSubPr/>
          <m:e>
            <m:r>
              <m:rPr/>
              <w:rPr>
                <w:rFonts w:ascii="Cambria Math" w:hAnsi="Cambria Math"/>
              </w:rPr>
              <m:t>E</m:t>
            </m:r>
          </m:e>
          <m:sub>
            <m:r>
              <m:rPr/>
              <w:rPr>
                <w:rFonts w:ascii="Cambria Math" w:hAnsi="Cambria Math"/>
              </w:rPr>
              <m:t>a</m:t>
            </m:r>
          </m:sub>
        </m:sSub>
      </m:oMath>
      <w:r>
        <w:t>——统计时段内公共辅助、附属及后处理系统总能耗，单位为千克标准煤（kgce）；</w:t>
      </w:r>
    </w:p>
    <w:p w14:paraId="102F3CE8">
      <w:pPr>
        <w:autoSpaceDE w:val="0"/>
        <w:autoSpaceDN w:val="0"/>
        <w:spacing w:line="360" w:lineRule="auto"/>
        <w:rPr>
          <w:rFonts w:hint="eastAsia" w:ascii="黑体" w:hAnsi="黑体" w:eastAsia="黑体"/>
          <w:color w:val="auto"/>
          <w:kern w:val="0"/>
        </w:rPr>
      </w:pPr>
      <m:oMath>
        <m:sSub>
          <m:sSubPr/>
          <m:e>
            <m:r>
              <m:rPr/>
              <w:rPr>
                <w:rFonts w:ascii="Cambria Math" w:hAnsi="Cambria Math"/>
              </w:rPr>
              <m:t>Q</m:t>
            </m:r>
          </m:e>
          <m:sub>
            <m:r>
              <m:rPr/>
              <w:rPr>
                <w:rFonts w:ascii="Cambria Math" w:hAnsi="Cambria Math"/>
              </w:rPr>
              <m:t>a</m:t>
            </m:r>
          </m:sub>
        </m:sSub>
      </m:oMath>
      <w:r>
        <w:t>——同时段合格产品总产量，单位为件。</w:t>
      </w:r>
    </w:p>
    <w:p w14:paraId="4D988041">
      <w:pPr>
        <w:autoSpaceDE w:val="0"/>
        <w:autoSpaceDN w:val="0"/>
        <w:spacing w:line="360" w:lineRule="auto"/>
        <w:rPr>
          <w:rFonts w:hint="eastAsia" w:ascii="黑体" w:hAnsi="黑体" w:eastAsia="黑体"/>
          <w:color w:val="auto"/>
          <w:kern w:val="0"/>
        </w:rPr>
      </w:pPr>
      <w:r>
        <w:t>6.2.5　单件产品综合能耗</w:t>
      </w:r>
    </w:p>
    <w:p w14:paraId="5BEF73F6">
      <w:pPr>
        <w:autoSpaceDE w:val="0"/>
        <w:autoSpaceDN w:val="0"/>
        <w:spacing w:line="360" w:lineRule="auto"/>
        <w:rPr>
          <w:rFonts w:hint="eastAsia" w:ascii="黑体" w:hAnsi="黑体" w:eastAsia="黑体"/>
          <w:color w:val="auto"/>
          <w:kern w:val="0"/>
        </w:rPr>
      </w:pPr>
      <w:r>
        <w:t>单件产品全流程综合能耗为各类工序能耗之和，按式（4）计算：</w:t>
      </w:r>
    </w:p>
    <w:p w14:paraId="15B184DB">
      <w:pPr>
        <w:pStyle w:val="94"/>
        <w:bidi w:val="0"/>
        <w:rPr>
          <w:rFonts w:hint="eastAsia" w:ascii="黑体" w:hAnsi="黑体" w:eastAsia="宋体"/>
          <w:color w:val="auto"/>
          <w:kern w:val="0"/>
          <w:lang w:val="en-US" w:eastAsia="zh-CN"/>
        </w:rPr>
      </w:pPr>
      <w:r>
        <w:rPr>
          <w:rFonts w:hint="eastAsia"/>
          <w:i w:val="0"/>
          <w:lang w:val="en-US" w:eastAsia="zh-CN"/>
        </w:rPr>
        <w:tab/>
      </w:r>
      <m:oMath>
        <m:m>
          <m:mPr>
            <m:mcs>
              <m:mc>
                <m:mcPr>
                  <m:count m:val="1"/>
                  <m:mcJc m:val="center"/>
                </m:mcPr>
              </m:mc>
            </m:mcs>
          </m:mPr>
          <m:mr>
            <m:e>
              <m:sSub>
                <m:sSubPr/>
                <m:e>
                  <m:r>
                    <m:rPr/>
                    <w:rPr>
                      <w:rFonts w:ascii="Cambria Math" w:hAnsi="Cambria Math"/>
                    </w:rPr>
                    <m:t>E</m:t>
                  </m:r>
                </m:e>
                <m:sub>
                  <m:r>
                    <m:rPr/>
                    <w:rPr>
                      <w:rFonts w:ascii="Cambria Math" w:hAnsi="Cambria Math"/>
                    </w:rPr>
                    <m:t>z</m:t>
                  </m:r>
                </m:sub>
              </m:sSub>
              <m:r>
                <m:rPr/>
                <w:rPr>
                  <w:rFonts w:ascii="Cambria Math" w:hAnsi="Cambria Math"/>
                </w:rPr>
                <m:t>=</m:t>
              </m:r>
              <m:nary>
                <m:naryPr>
                  <m:chr m:val="∑"/>
                  <m:grow m:val="1"/>
                  <m:limLoc m:val="undOvr"/>
                </m:naryPr>
                <m:sub>
                  <m:r>
                    <m:rPr/>
                    <w:rPr>
                      <w:rFonts w:ascii="Cambria Math" w:hAnsi="Cambria Math"/>
                    </w:rPr>
                    <m:t>i=1</m:t>
                  </m:r>
                </m:sub>
                <m:sup>
                  <m:r>
                    <m:rPr/>
                    <w:rPr>
                      <w:rFonts w:ascii="Cambria Math" w:hAnsi="Cambria Math"/>
                    </w:rPr>
                    <m:t>n</m:t>
                  </m:r>
                </m:sup>
                <m:e>
                  <m:sSub>
                    <m:sSubPr/>
                    <m:e>
                      <m:r>
                        <m:rPr/>
                        <w:rPr>
                          <w:rFonts w:ascii="Cambria Math" w:hAnsi="Cambria Math"/>
                        </w:rPr>
                        <m:t>e</m:t>
                      </m:r>
                    </m:e>
                    <m:sub>
                      <m:r>
                        <m:rPr/>
                        <w:rPr>
                          <w:rFonts w:ascii="Cambria Math" w:hAnsi="Cambria Math"/>
                        </w:rPr>
                        <m:t>s,i</m:t>
                      </m:r>
                    </m:sub>
                  </m:sSub>
                </m:e>
              </m:nary>
              <m:r>
                <m:rPr/>
                <w:rPr>
                  <w:rFonts w:ascii="Cambria Math" w:hAnsi="Cambria Math"/>
                </w:rPr>
                <m:t>+</m:t>
              </m:r>
              <m:sSub>
                <m:sSubPr/>
                <m:e>
                  <m:r>
                    <m:rPr/>
                    <w:rPr>
                      <w:rFonts w:ascii="Cambria Math" w:hAnsi="Cambria Math"/>
                    </w:rPr>
                    <m:t>e</m:t>
                  </m:r>
                </m:e>
                <m:sub>
                  <m:r>
                    <m:rPr/>
                    <w:rPr>
                      <w:rFonts w:ascii="Cambria Math" w:hAnsi="Cambria Math"/>
                    </w:rPr>
                    <m:t>w</m:t>
                  </m:r>
                </m:sub>
              </m:sSub>
              <m:r>
                <m:rPr/>
                <w:rPr>
                  <w:rFonts w:ascii="Cambria Math" w:hAnsi="Cambria Math"/>
                </w:rPr>
                <m:t>+</m:t>
              </m:r>
              <m:sSub>
                <m:sSubPr/>
                <m:e>
                  <m:r>
                    <m:rPr/>
                    <w:rPr>
                      <w:rFonts w:ascii="Cambria Math" w:hAnsi="Cambria Math"/>
                    </w:rPr>
                    <m:t>e</m:t>
                  </m:r>
                </m:e>
                <m:sub>
                  <m:r>
                    <m:rPr/>
                    <w:rPr>
                      <w:rFonts w:ascii="Cambria Math" w:hAnsi="Cambria Math"/>
                    </w:rPr>
                    <m:t>a</m:t>
                  </m:r>
                </m:sub>
              </m:sSub>
            </m:e>
          </m:mr>
        </m:m>
      </m:oMath>
      <w:r>
        <w:rPr>
          <w:rFonts w:hint="eastAsia"/>
          <w:i w:val="0"/>
          <w:lang w:val="en-US" w:eastAsia="zh-CN"/>
        </w:rPr>
        <w:tab/>
      </w:r>
      <w:r>
        <w:rPr>
          <w:rFonts w:hint="eastAsia"/>
          <w:i w:val="0"/>
          <w:lang w:val="en-US" w:eastAsia="zh-CN"/>
        </w:rPr>
        <w:t>（4）</w:t>
      </w:r>
    </w:p>
    <w:p w14:paraId="041E5715">
      <w:pPr>
        <w:autoSpaceDE w:val="0"/>
        <w:autoSpaceDN w:val="0"/>
        <w:spacing w:line="360" w:lineRule="auto"/>
        <w:rPr>
          <w:rFonts w:hint="eastAsia" w:ascii="黑体" w:hAnsi="黑体" w:eastAsia="黑体"/>
          <w:color w:val="auto"/>
          <w:kern w:val="0"/>
        </w:rPr>
      </w:pPr>
      <w:r>
        <w:t>式中：</w:t>
      </w:r>
    </w:p>
    <w:p w14:paraId="0F67BC3E">
      <w:pPr>
        <w:autoSpaceDE w:val="0"/>
        <w:autoSpaceDN w:val="0"/>
        <w:spacing w:line="360" w:lineRule="auto"/>
        <w:rPr>
          <w:rFonts w:hint="eastAsia" w:ascii="黑体" w:hAnsi="黑体" w:eastAsia="黑体"/>
          <w:color w:val="auto"/>
          <w:kern w:val="0"/>
        </w:rPr>
      </w:pPr>
      <m:oMath>
        <m:sSub>
          <m:sSubPr/>
          <m:e>
            <m:r>
              <m:rPr/>
              <w:rPr>
                <w:rFonts w:ascii="Cambria Math" w:hAnsi="Cambria Math"/>
              </w:rPr>
              <m:t>E</m:t>
            </m:r>
          </m:e>
          <m:sub>
            <m:r>
              <m:rPr/>
              <w:rPr>
                <w:rFonts w:ascii="Cambria Math" w:hAnsi="Cambria Math"/>
              </w:rPr>
              <m:t>z</m:t>
            </m:r>
          </m:sub>
        </m:sSub>
      </m:oMath>
      <w:r>
        <w:t>——单件产品综合能耗，单位为千克标准煤（kgce）；</w:t>
      </w:r>
    </w:p>
    <w:p w14:paraId="7EC28991">
      <w:pPr>
        <w:autoSpaceDE w:val="0"/>
        <w:autoSpaceDN w:val="0"/>
        <w:spacing w:line="360" w:lineRule="auto"/>
        <w:rPr>
          <w:rFonts w:hint="eastAsia" w:ascii="黑体" w:hAnsi="黑体" w:eastAsia="黑体"/>
          <w:color w:val="auto"/>
          <w:kern w:val="0"/>
        </w:rPr>
      </w:pPr>
      <m:oMath>
        <m:r>
          <m:rPr/>
          <w:rPr>
            <w:rFonts w:ascii="Cambria Math" w:hAnsi="Cambria Math"/>
          </w:rPr>
          <m:t>n</m:t>
        </m:r>
      </m:oMath>
      <w:r>
        <w:t>——</w:t>
      </w:r>
      <w:r>
        <w:rPr>
          <w:rFonts w:hint="eastAsia"/>
          <w:lang w:eastAsia="zh-CN"/>
        </w:rPr>
        <w:t>时间相关型</w:t>
      </w:r>
      <w:r>
        <w:t>工序总数量。</w:t>
      </w:r>
    </w:p>
    <w:p w14:paraId="00DCABCC">
      <w:pPr>
        <w:autoSpaceDE w:val="0"/>
        <w:autoSpaceDN w:val="0"/>
        <w:spacing w:line="360" w:lineRule="auto"/>
        <w:rPr>
          <w:rFonts w:hint="eastAsia" w:ascii="黑体" w:hAnsi="黑体" w:eastAsia="黑体"/>
          <w:color w:val="auto"/>
          <w:kern w:val="0"/>
        </w:rPr>
      </w:pPr>
      <w:r>
        <w:t>6.2.6　单位产品能耗</w:t>
      </w:r>
    </w:p>
    <w:p w14:paraId="0D59AAE3">
      <w:pPr>
        <w:autoSpaceDE w:val="0"/>
        <w:autoSpaceDN w:val="0"/>
        <w:spacing w:line="360" w:lineRule="auto"/>
        <w:rPr>
          <w:rFonts w:hint="eastAsia" w:ascii="黑体" w:hAnsi="黑体" w:eastAsia="黑体"/>
          <w:color w:val="auto"/>
          <w:kern w:val="0"/>
        </w:rPr>
      </w:pPr>
      <w:r>
        <w:t>轨道车辆转向架悬挂橡胶制品单位产品能耗按式（5）计算：</w:t>
      </w:r>
    </w:p>
    <w:p w14:paraId="03DF6988">
      <w:pPr>
        <w:pStyle w:val="94"/>
        <w:bidi w:val="0"/>
        <w:rPr>
          <w:rFonts w:hint="eastAsia" w:ascii="黑体" w:hAnsi="黑体" w:eastAsia="宋体"/>
          <w:color w:val="auto"/>
          <w:kern w:val="0"/>
          <w:lang w:val="en-US" w:eastAsia="zh-CN"/>
        </w:rPr>
      </w:pPr>
      <w:r>
        <w:rPr>
          <w:rFonts w:hint="eastAsia"/>
          <w:i w:val="0"/>
          <w:lang w:val="en-US" w:eastAsia="zh-CN"/>
        </w:rPr>
        <w:tab/>
      </w:r>
      <m:oMath>
        <m:m>
          <m:mPr>
            <m:mcs>
              <m:mc>
                <m:mcPr>
                  <m:count m:val="1"/>
                  <m:mcJc m:val="center"/>
                </m:mcPr>
              </m:mc>
            </m:mcs>
          </m:mPr>
          <m:mr>
            <m:e>
              <m:sSub>
                <m:sSubPr/>
                <m:e>
                  <m:r>
                    <m:rPr/>
                    <w:rPr>
                      <w:rFonts w:ascii="Cambria Math" w:hAnsi="Cambria Math"/>
                    </w:rPr>
                    <m:t>e</m:t>
                  </m:r>
                </m:e>
                <m:sub>
                  <m:r>
                    <m:rPr/>
                    <w:rPr>
                      <w:rFonts w:ascii="Cambria Math" w:hAnsi="Cambria Math"/>
                    </w:rPr>
                    <m:t>d</m:t>
                  </m:r>
                </m:sub>
              </m:sSub>
              <m:r>
                <m:rPr/>
                <w:rPr>
                  <w:rFonts w:ascii="Cambria Math" w:hAnsi="Cambria Math"/>
                </w:rPr>
                <m:t>=</m:t>
              </m:r>
              <m:f>
                <m:fPr/>
                <m:num>
                  <m:sSub>
                    <m:sSubPr/>
                    <m:e>
                      <m:r>
                        <m:rPr/>
                        <w:rPr>
                          <w:rFonts w:ascii="Cambria Math" w:hAnsi="Cambria Math"/>
                        </w:rPr>
                        <m:t>E</m:t>
                      </m:r>
                    </m:e>
                    <m:sub>
                      <m:r>
                        <m:rPr/>
                        <w:rPr>
                          <w:rFonts w:ascii="Cambria Math" w:hAnsi="Cambria Math"/>
                        </w:rPr>
                        <m:t>z</m:t>
                      </m:r>
                    </m:sub>
                  </m:sSub>
                </m:num>
                <m:den>
                  <m:r>
                    <m:rPr/>
                    <w:rPr>
                      <w:rFonts w:ascii="Cambria Math" w:hAnsi="Cambria Math"/>
                    </w:rPr>
                    <m:t>m</m:t>
                  </m:r>
                </m:den>
              </m:f>
            </m:e>
          </m:mr>
        </m:m>
      </m:oMath>
      <w:r>
        <w:rPr>
          <w:rFonts w:hint="eastAsia"/>
          <w:i w:val="0"/>
          <w:lang w:val="en-US" w:eastAsia="zh-CN"/>
        </w:rPr>
        <w:tab/>
      </w:r>
      <w:r>
        <w:rPr>
          <w:rFonts w:hint="eastAsia"/>
          <w:i w:val="0"/>
          <w:lang w:val="en-US" w:eastAsia="zh-CN"/>
        </w:rPr>
        <w:t>（5）</w:t>
      </w:r>
    </w:p>
    <w:p w14:paraId="362DC76C">
      <w:pPr>
        <w:autoSpaceDE w:val="0"/>
        <w:autoSpaceDN w:val="0"/>
        <w:spacing w:line="360" w:lineRule="auto"/>
        <w:rPr>
          <w:rFonts w:hint="eastAsia" w:ascii="黑体" w:hAnsi="黑体" w:eastAsia="黑体"/>
          <w:color w:val="auto"/>
          <w:kern w:val="0"/>
        </w:rPr>
      </w:pPr>
      <w:r>
        <w:t>式中：</w:t>
      </w:r>
    </w:p>
    <w:p w14:paraId="7189968B">
      <w:pPr>
        <w:autoSpaceDE w:val="0"/>
        <w:autoSpaceDN w:val="0"/>
        <w:spacing w:line="360" w:lineRule="auto"/>
        <w:rPr>
          <w:rFonts w:hint="eastAsia" w:ascii="黑体" w:hAnsi="黑体" w:eastAsia="黑体"/>
          <w:color w:val="auto"/>
          <w:kern w:val="0"/>
        </w:rPr>
      </w:pPr>
      <m:oMath>
        <m:sSub>
          <m:sSubPr/>
          <m:e>
            <m:r>
              <m:rPr/>
              <w:rPr>
                <w:rFonts w:ascii="Cambria Math" w:hAnsi="Cambria Math"/>
              </w:rPr>
              <m:t>e</m:t>
            </m:r>
          </m:e>
          <m:sub>
            <m:r>
              <m:rPr/>
              <w:rPr>
                <w:rFonts w:ascii="Cambria Math" w:hAnsi="Cambria Math"/>
              </w:rPr>
              <m:t>d</m:t>
            </m:r>
          </m:sub>
        </m:sSub>
      </m:oMath>
      <w:r>
        <w:t>——单位产品能耗，单位为千克标准煤每</w:t>
      </w:r>
      <w:r>
        <w:rPr>
          <w:rFonts w:hint="eastAsia"/>
          <w:lang w:val="en-US" w:eastAsia="zh-CN"/>
        </w:rPr>
        <w:t>吨</w:t>
      </w:r>
      <w:r>
        <w:t>（kgce/</w:t>
      </w:r>
      <w:r>
        <w:rPr>
          <w:rFonts w:hint="eastAsia"/>
          <w:lang w:val="en-US" w:eastAsia="zh-CN"/>
        </w:rPr>
        <w:t>t</w:t>
      </w:r>
      <w:r>
        <w:t>）；</w:t>
      </w:r>
    </w:p>
    <w:p w14:paraId="06D94822">
      <w:pPr>
        <w:pStyle w:val="83"/>
        <w:widowControl/>
        <w:numPr>
          <w:ilvl w:val="0"/>
          <w:numId w:val="9"/>
        </w:numPr>
        <w:autoSpaceDE w:val="0"/>
        <w:autoSpaceDN w:val="0"/>
        <w:spacing w:line="360" w:lineRule="auto"/>
        <w:ind w:firstLineChars="0"/>
        <w:rPr>
          <w:rFonts w:hint="eastAsia" w:ascii="黑体" w:hAnsi="黑体" w:eastAsia="黑体"/>
          <w:color w:val="auto"/>
          <w:kern w:val="0"/>
          <w:szCs w:val="20"/>
        </w:rPr>
      </w:pPr>
      <m:oMath>
        <m:r>
          <m:rPr/>
          <w:rPr>
            <w:rFonts w:ascii="Cambria Math" w:hAnsi="Cambria Math"/>
          </w:rPr>
          <m:t>m</m:t>
        </m:r>
      </m:oMath>
      <w:r>
        <w:t>——单件合格产品实测净重，单位为</w:t>
      </w:r>
      <w:r>
        <w:rPr>
          <w:rFonts w:hint="eastAsia"/>
          <w:lang w:val="en-US" w:eastAsia="zh-CN"/>
        </w:rPr>
        <w:t>吨</w:t>
      </w:r>
      <w:r>
        <w:t>（</w:t>
      </w:r>
      <w:r>
        <w:rPr>
          <w:rFonts w:hint="eastAsia"/>
          <w:lang w:val="en-US" w:eastAsia="zh-CN"/>
        </w:rPr>
        <w:t>t</w:t>
      </w:r>
      <w:r>
        <w:t>）</w:t>
      </w:r>
      <w:r>
        <w:rPr>
          <w:rFonts w:hint="eastAsia" w:ascii="宋体" w:hAnsi="宋体"/>
          <w:color w:val="auto"/>
          <w:kern w:val="0"/>
          <w:szCs w:val="21"/>
        </w:rPr>
        <w:t>。</w:t>
      </w:r>
    </w:p>
    <w:p w14:paraId="58B0FD1E">
      <w:pPr>
        <w:pStyle w:val="83"/>
        <w:widowControl/>
        <w:numPr>
          <w:ilvl w:val="0"/>
          <w:numId w:val="9"/>
        </w:numPr>
        <w:autoSpaceDE w:val="0"/>
        <w:autoSpaceDN w:val="0"/>
        <w:spacing w:line="360" w:lineRule="auto"/>
        <w:ind w:firstLineChars="0"/>
        <w:rPr>
          <w:rFonts w:hint="eastAsia" w:ascii="黑体" w:hAnsi="黑体" w:eastAsia="黑体"/>
          <w:color w:val="auto"/>
          <w:kern w:val="0"/>
          <w:szCs w:val="20"/>
        </w:rPr>
      </w:pPr>
      <w:r>
        <w:rPr>
          <w:rFonts w:hint="eastAsia" w:ascii="黑体" w:hAnsi="黑体" w:eastAsia="黑体"/>
          <w:color w:val="auto"/>
          <w:kern w:val="0"/>
          <w:szCs w:val="20"/>
        </w:rPr>
        <w:t xml:space="preserve">  </w:t>
      </w:r>
      <w:bookmarkEnd w:id="18"/>
      <w:bookmarkEnd w:id="52"/>
      <w:bookmarkEnd w:id="61"/>
    </w:p>
    <w:p w14:paraId="5D434C7D">
      <w:pPr>
        <w:widowControl/>
        <w:adjustRightInd/>
        <w:spacing w:line="240" w:lineRule="auto"/>
        <w:jc w:val="left"/>
        <w:rPr>
          <w:rFonts w:hint="eastAsia" w:ascii="黑体" w:hAnsi="黑体" w:eastAsia="黑体"/>
          <w:color w:val="auto"/>
          <w:kern w:val="0"/>
          <w:szCs w:val="20"/>
        </w:rPr>
      </w:pPr>
      <w:r>
        <w:rPr>
          <w:sz w:val="21"/>
        </w:rPr>
        <mc:AlternateContent>
          <mc:Choice Requires="wps">
            <w:drawing>
              <wp:anchor distT="0" distB="0" distL="114300" distR="114300" simplePos="0" relativeHeight="251661312" behindDoc="0" locked="0" layoutInCell="1" allowOverlap="1">
                <wp:simplePos x="0" y="0"/>
                <wp:positionH relativeFrom="column">
                  <wp:posOffset>1412240</wp:posOffset>
                </wp:positionH>
                <wp:positionV relativeFrom="paragraph">
                  <wp:posOffset>2063750</wp:posOffset>
                </wp:positionV>
                <wp:extent cx="2935605" cy="635"/>
                <wp:effectExtent l="0" t="9525" r="10795" b="15240"/>
                <wp:wrapNone/>
                <wp:docPr id="2" name="直接连接符 2"/>
                <wp:cNvGraphicFramePr/>
                <a:graphic xmlns:a="http://schemas.openxmlformats.org/drawingml/2006/main">
                  <a:graphicData uri="http://schemas.microsoft.com/office/word/2010/wordprocessingShape">
                    <wps:wsp>
                      <wps:cNvCnPr/>
                      <wps:spPr>
                        <a:xfrm flipV="1">
                          <a:off x="1955800" y="8815070"/>
                          <a:ext cx="2935605" cy="635"/>
                        </a:xfrm>
                        <a:prstGeom prst="line">
                          <a:avLst/>
                        </a:prstGeom>
                        <a:ln w="190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111.2pt;margin-top:162.5pt;height:0.05pt;width:231.15pt;z-index:251661312;mso-width-relative:page;mso-height-relative:page;" filled="f" stroked="t" coordsize="21600,21600" o:gfxdata="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Y10iZ1wAAAAsBAAAPAAAAAAAAAAEAIAAAACIAAABkcnMvZG93bnJldi54bWxQ&#10;SwECFAAUAAAACACHTuJADKm7ZvgBAADKAwAADgAAAAAAAAABACAAAAAmAQAAZHJzL2Uyb0RvYy54&#10;bWxQSwUGAAAAAAYABgBZAQAAkAUAAAAA&#10;">
                <v:fill on="f" focussize="0,0"/>
                <v:stroke weight="1.5pt" color="#000000 [3213]" miterlimit="8" joinstyle="miter"/>
                <v:imagedata o:title=""/>
                <o:lock v:ext="edit" aspectratio="f"/>
              </v:line>
            </w:pict>
          </mc:Fallback>
        </mc:AlternateContent>
      </w:r>
      <w:r>
        <w:rPr>
          <w:rFonts w:hint="eastAsia" w:ascii="黑体" w:hAnsi="黑体" w:eastAsia="黑体"/>
          <w:color w:val="auto"/>
          <w:kern w:val="0"/>
          <w:szCs w:val="20"/>
        </w:rPr>
        <w:br w:type="page"/>
      </w:r>
    </w:p>
    <w:p w14:paraId="195453CA">
      <w:pPr>
        <w:pStyle w:val="35"/>
        <w:numPr>
          <w:ilvl w:val="1"/>
          <w:numId w:val="0"/>
        </w:numPr>
        <w:tabs>
          <w:tab w:val="left" w:pos="284"/>
        </w:tabs>
        <w:spacing w:before="240" w:after="240" w:line="360" w:lineRule="auto"/>
        <w:ind w:leftChars="0"/>
        <w:rPr>
          <w:rFonts w:ascii="黑体" w:hAnsi="Times New Roman" w:eastAsia="黑体" w:cs="Times New Roman"/>
          <w:b w:val="0"/>
          <w:bCs w:val="0"/>
          <w:color w:val="auto"/>
          <w:kern w:val="0"/>
          <w:szCs w:val="20"/>
        </w:rPr>
      </w:pPr>
      <w:bookmarkStart w:id="66" w:name="_Toc20493"/>
      <w:bookmarkStart w:id="67" w:name="_Toc167983289"/>
      <w:bookmarkStart w:id="68" w:name="_Toc167982629"/>
      <w:bookmarkStart w:id="69" w:name="_Toc168053919"/>
      <w:r>
        <w:rPr>
          <w:rFonts w:hint="eastAsia" w:cs="Times New Roman"/>
          <w:b w:val="0"/>
          <w:bCs w:val="0"/>
          <w:color w:val="auto"/>
          <w:kern w:val="0"/>
          <w:szCs w:val="20"/>
          <w:lang w:val="en-US" w:eastAsia="zh-CN"/>
        </w:rPr>
        <w:t>7.附录</w:t>
      </w:r>
      <w:bookmarkEnd w:id="66"/>
    </w:p>
    <w:p w14:paraId="50E6B8FF">
      <w:pPr>
        <w:pStyle w:val="3"/>
        <w:spacing w:before="240" w:after="240"/>
        <w:jc w:val="center"/>
        <w:rPr>
          <w:rFonts w:ascii="黑体" w:hAnsi="Times New Roman" w:eastAsia="黑体" w:cs="Times New Roman"/>
          <w:b w:val="0"/>
          <w:bCs w:val="0"/>
          <w:color w:val="auto"/>
          <w:kern w:val="0"/>
          <w:szCs w:val="20"/>
        </w:rPr>
      </w:pPr>
      <w:r>
        <w:rPr>
          <w:rFonts w:ascii="黑体" w:hAnsi="Times New Roman" w:eastAsia="黑体" w:cs="Times New Roman"/>
          <w:b w:val="0"/>
          <w:bCs w:val="0"/>
          <w:color w:val="auto"/>
          <w:kern w:val="0"/>
          <w:szCs w:val="20"/>
        </w:rPr>
        <w:t>附</w:t>
      </w:r>
      <w:r>
        <w:rPr>
          <w:rFonts w:hint="eastAsia" w:ascii="黑体" w:hAnsi="Times New Roman" w:eastAsia="黑体" w:cs="Times New Roman"/>
          <w:b w:val="0"/>
          <w:bCs w:val="0"/>
          <w:color w:val="auto"/>
          <w:kern w:val="0"/>
          <w:szCs w:val="20"/>
        </w:rPr>
        <w:t xml:space="preserve">  </w:t>
      </w:r>
      <w:r>
        <w:rPr>
          <w:rFonts w:ascii="黑体" w:hAnsi="Times New Roman" w:eastAsia="黑体" w:cs="Times New Roman"/>
          <w:b w:val="0"/>
          <w:bCs w:val="0"/>
          <w:color w:val="auto"/>
          <w:kern w:val="0"/>
          <w:szCs w:val="20"/>
        </w:rPr>
        <w:t>录</w:t>
      </w:r>
      <w:r>
        <w:rPr>
          <w:rFonts w:hint="eastAsia" w:ascii="黑体" w:hAnsi="Times New Roman" w:eastAsia="黑体" w:cs="Times New Roman"/>
          <w:b w:val="0"/>
          <w:bCs w:val="0"/>
          <w:color w:val="auto"/>
          <w:kern w:val="0"/>
          <w:szCs w:val="20"/>
        </w:rPr>
        <w:t xml:space="preserve">  </w:t>
      </w:r>
      <w:r>
        <w:rPr>
          <w:rFonts w:ascii="黑体" w:hAnsi="Times New Roman" w:eastAsia="黑体" w:cs="Times New Roman"/>
          <w:b w:val="0"/>
          <w:bCs w:val="0"/>
          <w:color w:val="auto"/>
          <w:kern w:val="0"/>
          <w:szCs w:val="20"/>
        </w:rPr>
        <w:t>A</w:t>
      </w:r>
    </w:p>
    <w:p w14:paraId="3E53EA20">
      <w:pPr>
        <w:pStyle w:val="40"/>
        <w:snapToGrid w:val="0"/>
        <w:spacing w:before="220" w:after="220"/>
        <w:outlineLvl w:val="9"/>
        <w:rPr>
          <w:color w:val="auto"/>
        </w:rPr>
      </w:pPr>
      <w:r>
        <w:rPr>
          <w:color w:val="auto"/>
        </w:rPr>
        <w:t>(</w:t>
      </w:r>
      <w:r>
        <w:rPr>
          <w:rFonts w:hint="eastAsia"/>
          <w:color w:val="auto"/>
        </w:rPr>
        <w:t>规范</w:t>
      </w:r>
      <w:r>
        <w:rPr>
          <w:color w:val="auto"/>
        </w:rPr>
        <w:t>性)</w:t>
      </w:r>
    </w:p>
    <w:p w14:paraId="5BB5D638">
      <w:pPr>
        <w:pStyle w:val="40"/>
        <w:snapToGrid w:val="0"/>
        <w:spacing w:before="220" w:after="220"/>
        <w:outlineLvl w:val="9"/>
        <w:rPr>
          <w:color w:val="FF0000"/>
        </w:rPr>
      </w:pPr>
      <w:r>
        <w:rPr>
          <w:rFonts w:hint="eastAsia"/>
          <w:color w:val="auto"/>
        </w:rPr>
        <w:t>轨道车辆转向架悬挂橡胶制品</w:t>
      </w:r>
      <w:r>
        <w:rPr>
          <w:rFonts w:hint="eastAsia"/>
          <w:color w:val="auto"/>
          <w:lang w:val="en-US" w:eastAsia="zh-CN"/>
        </w:rPr>
        <w:t>结构与</w:t>
      </w:r>
      <w:r>
        <w:rPr>
          <w:rFonts w:hint="eastAsia"/>
          <w:color w:val="auto"/>
        </w:rPr>
        <w:t>分类方法</w:t>
      </w:r>
    </w:p>
    <w:p w14:paraId="462440D7">
      <w:pPr>
        <w:pStyle w:val="27"/>
        <w:spacing w:line="360" w:lineRule="auto"/>
        <w:ind w:firstLine="0" w:firstLineChars="0"/>
        <w:rPr>
          <w:rFonts w:hint="eastAsia" w:ascii="黑体" w:hAnsi="黑体" w:eastAsia="黑体"/>
          <w:color w:val="auto"/>
        </w:rPr>
      </w:pPr>
    </w:p>
    <w:p w14:paraId="7490C3FE">
      <w:pPr>
        <w:pStyle w:val="27"/>
        <w:spacing w:line="360" w:lineRule="auto"/>
        <w:ind w:firstLine="0" w:firstLineChars="0"/>
        <w:rPr>
          <w:rFonts w:hint="eastAsia" w:ascii="黑体" w:hAnsi="黑体" w:eastAsia="黑体"/>
          <w:color w:val="auto"/>
        </w:rPr>
      </w:pPr>
      <w:r>
        <w:rPr>
          <w:rFonts w:hint="eastAsia" w:ascii="黑体" w:hAnsi="黑体" w:eastAsia="黑体"/>
          <w:color w:val="auto"/>
        </w:rPr>
        <w:t xml:space="preserve">A.1 空气弹簧气囊 </w:t>
      </w:r>
    </w:p>
    <w:p w14:paraId="70BBE0CE">
      <w:pPr>
        <w:pStyle w:val="27"/>
        <w:spacing w:line="360" w:lineRule="auto"/>
        <w:ind w:firstLine="420"/>
        <w:rPr>
          <w:color w:val="auto"/>
        </w:rPr>
      </w:pPr>
      <w:r>
        <w:rPr>
          <w:color w:val="auto"/>
        </w:rPr>
        <w:t>由橡胶主体与帘线增强材料复合制成的柔性胶囊状弹性元件</w:t>
      </w:r>
      <w:r>
        <w:rPr>
          <w:rFonts w:hint="eastAsia"/>
          <w:color w:val="auto"/>
        </w:rPr>
        <w:t>。</w:t>
      </w:r>
    </w:p>
    <w:p w14:paraId="72AC30A6">
      <w:pPr>
        <w:pStyle w:val="27"/>
        <w:spacing w:line="360" w:lineRule="auto"/>
        <w:ind w:firstLine="420"/>
        <w:rPr>
          <w:color w:val="auto"/>
        </w:rPr>
      </w:pPr>
      <w:r>
        <w:rPr>
          <w:rFonts w:hint="eastAsia"/>
          <w:color w:val="auto"/>
        </w:rPr>
        <w:t>注：</w:t>
      </w:r>
      <w:r>
        <w:rPr>
          <w:color w:val="auto"/>
        </w:rPr>
        <w:t>作为轨道车辆转向架悬挂系统的核心部件，通过充入压缩空气实现载荷承载、振动缓冲及高度调节功能</w:t>
      </w:r>
      <w:r>
        <w:rPr>
          <w:rFonts w:hint="eastAsia"/>
          <w:color w:val="auto"/>
        </w:rPr>
        <w:t>。</w:t>
      </w:r>
    </w:p>
    <w:p w14:paraId="385A70CA">
      <w:pPr>
        <w:pStyle w:val="27"/>
        <w:spacing w:line="360" w:lineRule="auto"/>
        <w:ind w:firstLine="420" w:firstLineChars="0"/>
        <w:jc w:val="left"/>
        <w:rPr>
          <w:rFonts w:hint="eastAsia"/>
          <w:color w:val="auto"/>
          <w:lang w:val="en-US" w:eastAsia="zh-CN"/>
        </w:rPr>
      </w:pPr>
      <w:r>
        <w:rPr>
          <w:rFonts w:hint="eastAsia"/>
          <w:color w:val="auto"/>
        </w:rPr>
        <w:t>本文件</w:t>
      </w:r>
      <w:r>
        <w:rPr>
          <w:rFonts w:hint="eastAsia"/>
          <w:color w:val="auto"/>
          <w:lang w:val="en-US" w:eastAsia="zh-CN"/>
        </w:rPr>
        <w:t>规定，空气弹簧气囊的分类依据气囊的结构。</w:t>
      </w:r>
    </w:p>
    <w:p w14:paraId="59C66E62">
      <w:pPr>
        <w:pStyle w:val="27"/>
        <w:spacing w:line="360" w:lineRule="auto"/>
        <w:ind w:firstLine="420" w:firstLineChars="0"/>
        <w:jc w:val="left"/>
        <w:rPr>
          <w:rFonts w:hint="default"/>
          <w:color w:val="0000FF"/>
          <w:lang w:val="en-US" w:eastAsia="zh-CN"/>
        </w:rPr>
      </w:pPr>
      <w:r>
        <w:rPr>
          <w:rFonts w:hint="eastAsia"/>
          <w:color w:val="auto"/>
          <w:lang w:val="en-US" w:eastAsia="zh-CN"/>
        </w:rPr>
        <w:t>腰带式气囊：采用腰带式加固结构的空气弹簧气囊。非腰带式气囊：大曲囊、小曲囊等常规无腰带加固结构的空气弹簧气囊。</w:t>
      </w:r>
    </w:p>
    <w:p w14:paraId="7765FC2D">
      <w:pPr>
        <w:pStyle w:val="27"/>
        <w:spacing w:line="360" w:lineRule="auto"/>
        <w:ind w:firstLine="420" w:firstLineChars="0"/>
        <w:jc w:val="left"/>
        <w:rPr>
          <w:rFonts w:hint="eastAsia"/>
          <w:color w:val="auto"/>
        </w:rPr>
      </w:pPr>
      <w:r>
        <w:rPr>
          <w:rFonts w:hint="eastAsia"/>
          <w:color w:val="auto"/>
        </w:rPr>
        <w:t>结构形式见如图A.</w:t>
      </w:r>
      <w:r>
        <w:rPr>
          <w:rFonts w:hint="eastAsia"/>
          <w:color w:val="auto"/>
          <w:lang w:val="en-US" w:eastAsia="zh-CN"/>
        </w:rPr>
        <w:t>1</w:t>
      </w:r>
      <w:r>
        <w:rPr>
          <w:rFonts w:hint="eastAsia"/>
          <w:color w:val="auto"/>
        </w:rPr>
        <w:t>所示。</w:t>
      </w:r>
    </w:p>
    <w:p w14:paraId="1A59B3C8">
      <w:pPr>
        <w:pStyle w:val="27"/>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auto"/>
        <w:rPr>
          <w:rFonts w:hint="eastAsia" w:eastAsia="宋体"/>
          <w:lang w:eastAsia="zh-CN"/>
        </w:rPr>
      </w:pPr>
      <w:r>
        <w:rPr>
          <w:rFonts w:hint="eastAsia" w:eastAsia="宋体"/>
          <w:lang w:eastAsia="zh-CN"/>
        </w:rPr>
        <w:drawing>
          <wp:inline distT="0" distB="0" distL="114300" distR="114300">
            <wp:extent cx="3324225" cy="1283970"/>
            <wp:effectExtent l="0" t="0" r="3175" b="11430"/>
            <wp:docPr id="28" name="图片 28" descr="1bf3f4c6214568cd69e6c5a72d94d8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1bf3f4c6214568cd69e6c5a72d94d84a"/>
                    <pic:cNvPicPr>
                      <a:picLocks noChangeAspect="1"/>
                    </pic:cNvPicPr>
                  </pic:nvPicPr>
                  <pic:blipFill>
                    <a:blip r:embed="rId13"/>
                    <a:stretch>
                      <a:fillRect/>
                    </a:stretch>
                  </pic:blipFill>
                  <pic:spPr>
                    <a:xfrm>
                      <a:off x="0" y="0"/>
                      <a:ext cx="3324225" cy="1283970"/>
                    </a:xfrm>
                    <a:prstGeom prst="rect">
                      <a:avLst/>
                    </a:prstGeom>
                  </pic:spPr>
                </pic:pic>
              </a:graphicData>
            </a:graphic>
          </wp:inline>
        </w:drawing>
      </w:r>
    </w:p>
    <w:p w14:paraId="1E883559">
      <w:pPr>
        <w:bidi w:val="0"/>
        <w:jc w:val="center"/>
      </w:pPr>
      <w:r>
        <w:rPr>
          <w:rFonts w:hint="eastAsia"/>
        </w:rPr>
        <w:t xml:space="preserve">a) </w:t>
      </w:r>
      <w:r>
        <w:rPr>
          <w:rFonts w:hint="eastAsia"/>
          <w:lang w:val="en-US" w:eastAsia="zh-CN"/>
        </w:rPr>
        <w:t>气囊结构示意图</w:t>
      </w:r>
    </w:p>
    <w:p w14:paraId="19B13CAA">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pPr>
      <w:r>
        <w:drawing>
          <wp:inline distT="0" distB="0" distL="114300" distR="114300">
            <wp:extent cx="1909445" cy="720090"/>
            <wp:effectExtent l="0" t="0" r="8255" b="381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4"/>
                    <a:srcRect l="11374" t="7943" r="1517" b="6037"/>
                    <a:stretch>
                      <a:fillRect/>
                    </a:stretch>
                  </pic:blipFill>
                  <pic:spPr>
                    <a:xfrm>
                      <a:off x="0" y="0"/>
                      <a:ext cx="1909445" cy="720090"/>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1980565" cy="720090"/>
            <wp:effectExtent l="0" t="0" r="635" b="381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5"/>
                    <a:srcRect l="4343" t="6166" r="2563" b="13514"/>
                    <a:stretch>
                      <a:fillRect/>
                    </a:stretch>
                  </pic:blipFill>
                  <pic:spPr>
                    <a:xfrm>
                      <a:off x="0" y="0"/>
                      <a:ext cx="1980565" cy="720090"/>
                    </a:xfrm>
                    <a:prstGeom prst="rect">
                      <a:avLst/>
                    </a:prstGeom>
                    <a:noFill/>
                    <a:ln>
                      <a:noFill/>
                    </a:ln>
                  </pic:spPr>
                </pic:pic>
              </a:graphicData>
            </a:graphic>
          </wp:inline>
        </w:drawing>
      </w:r>
    </w:p>
    <w:p w14:paraId="6A73597E">
      <w:pPr>
        <w:bidi w:val="0"/>
        <w:jc w:val="center"/>
      </w:pPr>
      <w:bookmarkStart w:id="70" w:name="_Toc17513"/>
      <w:r>
        <w:rPr>
          <w:rFonts w:hint="eastAsia"/>
          <w:lang w:val="en-US" w:eastAsia="zh-CN"/>
        </w:rPr>
        <w:t>b</w:t>
      </w:r>
      <w:r>
        <w:rPr>
          <w:rFonts w:hint="eastAsia"/>
        </w:rPr>
        <w:t xml:space="preserve">) </w:t>
      </w:r>
      <w:r>
        <w:rPr>
          <w:rFonts w:hint="eastAsia"/>
          <w:lang w:val="en-US" w:eastAsia="zh-CN"/>
        </w:rPr>
        <w:t>腰带式</w:t>
      </w:r>
      <w:r>
        <w:rPr>
          <w:rFonts w:hint="eastAsia"/>
        </w:rPr>
        <w:t>气囊（AB1）</w:t>
      </w:r>
      <w:r>
        <w:rPr>
          <w:rFonts w:hint="eastAsia"/>
          <w:lang w:val="en-US" w:eastAsia="zh-CN"/>
        </w:rPr>
        <w:t xml:space="preserve">      </w:t>
      </w:r>
      <w:r>
        <w:rPr>
          <w:rFonts w:hint="eastAsia"/>
        </w:rPr>
        <w:t xml:space="preserve">     </w:t>
      </w:r>
      <w:r>
        <w:rPr>
          <w:rFonts w:hint="eastAsia"/>
          <w:lang w:val="en-US" w:eastAsia="zh-CN"/>
        </w:rPr>
        <w:t>c</w:t>
      </w:r>
      <w:r>
        <w:rPr>
          <w:rFonts w:hint="eastAsia"/>
        </w:rPr>
        <w:t>)</w:t>
      </w:r>
      <w:r>
        <w:rPr>
          <w:rFonts w:hint="eastAsia"/>
          <w:lang w:val="en-US" w:eastAsia="zh-CN"/>
        </w:rPr>
        <w:t>非腰带式</w:t>
      </w:r>
      <w:r>
        <w:rPr>
          <w:rFonts w:hint="eastAsia"/>
        </w:rPr>
        <w:t>气囊(AB2)</w:t>
      </w:r>
      <w:bookmarkEnd w:id="70"/>
    </w:p>
    <w:p w14:paraId="663D1F85">
      <w:pPr>
        <w:bidi w:val="0"/>
        <w:jc w:val="center"/>
      </w:pPr>
      <w:bookmarkStart w:id="71" w:name="_Toc12709"/>
      <w:r>
        <w:rPr>
          <w:rFonts w:hint="eastAsia"/>
        </w:rPr>
        <w:t>图 A.1 空气弹簧气囊示意图</w:t>
      </w:r>
      <w:bookmarkEnd w:id="71"/>
    </w:p>
    <w:p w14:paraId="0F45E2AB">
      <w:pPr>
        <w:pStyle w:val="27"/>
        <w:spacing w:line="360" w:lineRule="auto"/>
        <w:ind w:firstLine="0" w:firstLineChars="0"/>
        <w:rPr>
          <w:rFonts w:hint="eastAsia" w:ascii="黑体" w:hAnsi="黑体" w:eastAsia="黑体"/>
          <w:color w:val="auto"/>
        </w:rPr>
      </w:pPr>
      <w:r>
        <w:rPr>
          <w:rFonts w:hint="eastAsia" w:ascii="黑体" w:hAnsi="黑体" w:eastAsia="黑体"/>
          <w:color w:val="auto"/>
        </w:rPr>
        <w:t>A.2 锥形弹簧</w:t>
      </w:r>
    </w:p>
    <w:p w14:paraId="071569A1">
      <w:pPr>
        <w:pStyle w:val="27"/>
        <w:spacing w:line="360" w:lineRule="auto"/>
        <w:ind w:firstLine="420"/>
        <w:rPr>
          <w:color w:val="auto"/>
        </w:rPr>
      </w:pPr>
      <w:r>
        <w:rPr>
          <w:rFonts w:hint="eastAsia"/>
          <w:color w:val="auto"/>
        </w:rPr>
        <w:t>锥形弹簧是由一层或多层锥形橡胶与锥形金属套经硫化而得的橡胶减振制品，用于空气弹簧系统的辅助弹簧或一系弹簧。</w:t>
      </w:r>
    </w:p>
    <w:p w14:paraId="661C41F7">
      <w:pPr>
        <w:pStyle w:val="27"/>
        <w:spacing w:line="360" w:lineRule="auto"/>
        <w:ind w:firstLine="420" w:firstLineChars="0"/>
        <w:jc w:val="left"/>
        <w:rPr>
          <w:rFonts w:hint="eastAsia"/>
          <w:color w:val="auto"/>
        </w:rPr>
      </w:pPr>
      <w:r>
        <w:rPr>
          <w:rFonts w:hint="eastAsia"/>
          <w:color w:val="auto"/>
        </w:rPr>
        <w:t>本文件规定，锥形弹簧的分类依据金属件的材质。</w:t>
      </w:r>
    </w:p>
    <w:p w14:paraId="55FC7B32">
      <w:pPr>
        <w:pStyle w:val="27"/>
        <w:spacing w:line="360" w:lineRule="auto"/>
        <w:ind w:firstLine="420" w:firstLineChars="0"/>
        <w:jc w:val="left"/>
        <w:rPr>
          <w:rFonts w:hint="eastAsia"/>
          <w:color w:val="auto"/>
        </w:rPr>
      </w:pPr>
      <w:r>
        <w:rPr>
          <w:rFonts w:hint="eastAsia"/>
          <w:lang w:val="en-US" w:eastAsia="zh-CN"/>
        </w:rPr>
        <w:t>钢材质锥形弹簧：</w:t>
      </w:r>
      <w:r>
        <w:rPr>
          <w:rFonts w:hint="eastAsia"/>
          <w:lang w:eastAsia="zh-CN"/>
        </w:rPr>
        <w:t>内外金属套、芯轴等所有金属部件均为钢材的锥形弹簧</w:t>
      </w:r>
      <w:r>
        <w:rPr>
          <w:rFonts w:hint="eastAsia"/>
          <w:lang w:val="en-US" w:eastAsia="zh-CN"/>
        </w:rPr>
        <w:t>。铝材质锥形弹簧：</w:t>
      </w:r>
      <w:r>
        <w:rPr>
          <w:rFonts w:hint="eastAsia"/>
          <w:lang w:eastAsia="zh-CN"/>
        </w:rPr>
        <w:t>含铝合金材质部件的锥形弹簧</w:t>
      </w:r>
      <w:r>
        <w:rPr>
          <w:rFonts w:hint="eastAsia"/>
          <w:lang w:val="en-US" w:eastAsia="zh-CN"/>
        </w:rPr>
        <w:t>。</w:t>
      </w:r>
    </w:p>
    <w:p w14:paraId="3D4F58FC">
      <w:pPr>
        <w:pStyle w:val="27"/>
        <w:spacing w:line="360" w:lineRule="auto"/>
        <w:ind w:firstLine="420"/>
        <w:rPr>
          <w:color w:val="auto"/>
        </w:rPr>
      </w:pPr>
      <w:r>
        <w:rPr>
          <w:rFonts w:hint="eastAsia"/>
          <w:color w:val="auto"/>
        </w:rPr>
        <w:t>结构形式见如图A.2所示。</w:t>
      </w:r>
    </w:p>
    <w:p w14:paraId="6B601C74">
      <w:pPr>
        <w:pStyle w:val="27"/>
        <w:keepNext w:val="0"/>
        <w:keepLines w:val="0"/>
        <w:pageBreakBefore w:val="0"/>
        <w:widowControl/>
        <w:kinsoku/>
        <w:wordWrap/>
        <w:overflowPunct/>
        <w:topLinePunct w:val="0"/>
        <w:autoSpaceDE w:val="0"/>
        <w:autoSpaceDN w:val="0"/>
        <w:bidi w:val="0"/>
        <w:adjustRightInd/>
        <w:snapToGrid/>
        <w:spacing w:line="240" w:lineRule="auto"/>
        <w:ind w:firstLine="420"/>
        <w:jc w:val="center"/>
        <w:textAlignment w:val="auto"/>
        <w:rPr>
          <w:color w:val="FF0000"/>
        </w:rPr>
      </w:pPr>
      <w:r>
        <w:drawing>
          <wp:inline distT="0" distB="0" distL="114300" distR="114300">
            <wp:extent cx="1854200" cy="1619885"/>
            <wp:effectExtent l="0" t="0" r="0" b="5715"/>
            <wp:docPr id="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pic:cNvPicPr>
                      <a:picLocks noChangeAspect="1"/>
                    </pic:cNvPicPr>
                  </pic:nvPicPr>
                  <pic:blipFill>
                    <a:blip r:embed="rId16"/>
                    <a:srcRect t="3937"/>
                    <a:stretch>
                      <a:fillRect/>
                    </a:stretch>
                  </pic:blipFill>
                  <pic:spPr>
                    <a:xfrm>
                      <a:off x="0" y="0"/>
                      <a:ext cx="1854200" cy="1619885"/>
                    </a:xfrm>
                    <a:prstGeom prst="rect">
                      <a:avLst/>
                    </a:prstGeom>
                    <a:noFill/>
                    <a:ln>
                      <a:noFill/>
                    </a:ln>
                  </pic:spPr>
                </pic:pic>
              </a:graphicData>
            </a:graphic>
          </wp:inline>
        </w:drawing>
      </w:r>
    </w:p>
    <w:p w14:paraId="61307730">
      <w:pPr>
        <w:bidi w:val="0"/>
        <w:jc w:val="center"/>
      </w:pPr>
      <w:bookmarkStart w:id="72" w:name="_Toc14594"/>
      <w:r>
        <w:rPr>
          <w:rFonts w:hint="eastAsia"/>
        </w:rPr>
        <w:t>1——金属芯轴；2——橡胶；3——金属隔套；4——金属外套</w:t>
      </w:r>
      <w:bookmarkEnd w:id="72"/>
    </w:p>
    <w:p w14:paraId="6B18B6E4">
      <w:pPr>
        <w:bidi w:val="0"/>
        <w:jc w:val="center"/>
        <w:rPr>
          <w:rFonts w:hint="eastAsia" w:ascii="黑体" w:hAnsi="黑体" w:eastAsia="黑体"/>
          <w:color w:val="auto"/>
        </w:rPr>
      </w:pPr>
      <w:bookmarkStart w:id="73" w:name="_Toc15136"/>
      <w:r>
        <w:rPr>
          <w:rFonts w:hint="eastAsia"/>
        </w:rPr>
        <w:t>图 A.2 锥形弹簧示意图</w:t>
      </w:r>
      <w:bookmarkEnd w:id="73"/>
    </w:p>
    <w:p w14:paraId="796336AB">
      <w:pPr>
        <w:pStyle w:val="27"/>
        <w:spacing w:line="360" w:lineRule="auto"/>
        <w:ind w:firstLine="0" w:firstLineChars="0"/>
        <w:rPr>
          <w:rFonts w:hint="eastAsia" w:ascii="黑体" w:hAnsi="黑体" w:eastAsia="黑体"/>
          <w:color w:val="auto"/>
        </w:rPr>
      </w:pPr>
      <w:r>
        <w:rPr>
          <w:rFonts w:hint="eastAsia" w:ascii="黑体" w:hAnsi="黑体" w:eastAsia="黑体"/>
          <w:color w:val="auto"/>
        </w:rPr>
        <w:t xml:space="preserve">A.3 弹性节点 </w:t>
      </w:r>
    </w:p>
    <w:p w14:paraId="6E353149">
      <w:pPr>
        <w:pStyle w:val="27"/>
        <w:spacing w:line="360" w:lineRule="auto"/>
        <w:ind w:firstLine="420"/>
        <w:rPr>
          <w:rFonts w:hint="eastAsia"/>
          <w:color w:val="auto"/>
        </w:rPr>
      </w:pPr>
      <w:r>
        <w:rPr>
          <w:rFonts w:hint="eastAsia"/>
          <w:color w:val="auto"/>
        </w:rPr>
        <w:t>弹性节点是由橡胶与金属件硫化复合而成的弹性连接体，起柔性连接和缓冲振动冲击的作用。</w:t>
      </w:r>
    </w:p>
    <w:p w14:paraId="7912A180">
      <w:pPr>
        <w:pStyle w:val="27"/>
        <w:spacing w:line="360" w:lineRule="auto"/>
        <w:ind w:firstLine="420" w:firstLineChars="0"/>
        <w:jc w:val="left"/>
        <w:rPr>
          <w:rFonts w:hint="eastAsia"/>
          <w:color w:val="auto"/>
        </w:rPr>
      </w:pPr>
      <w:r>
        <w:rPr>
          <w:rFonts w:hint="eastAsia"/>
          <w:color w:val="auto"/>
        </w:rPr>
        <w:t>本文件规定，</w:t>
      </w:r>
      <w:r>
        <w:rPr>
          <w:rFonts w:hint="eastAsia"/>
          <w:color w:val="auto"/>
          <w:lang w:val="en-US" w:eastAsia="zh-CN"/>
        </w:rPr>
        <w:t>弹性节点</w:t>
      </w:r>
      <w:r>
        <w:rPr>
          <w:rFonts w:hint="eastAsia"/>
          <w:color w:val="auto"/>
        </w:rPr>
        <w:t>的分类依据</w:t>
      </w:r>
      <w:r>
        <w:rPr>
          <w:rFonts w:hint="eastAsia"/>
          <w:color w:val="auto"/>
          <w:lang w:val="en-US" w:eastAsia="zh-CN"/>
        </w:rPr>
        <w:t>内套的结构</w:t>
      </w:r>
      <w:r>
        <w:rPr>
          <w:rFonts w:hint="eastAsia"/>
          <w:color w:val="auto"/>
        </w:rPr>
        <w:t>。</w:t>
      </w:r>
    </w:p>
    <w:p w14:paraId="7F6BD6F4">
      <w:pPr>
        <w:pStyle w:val="27"/>
        <w:spacing w:line="360" w:lineRule="auto"/>
        <w:ind w:firstLine="420" w:firstLineChars="0"/>
        <w:jc w:val="left"/>
        <w:rPr>
          <w:rFonts w:hint="eastAsia"/>
          <w:color w:val="auto"/>
          <w:lang w:eastAsia="zh-CN"/>
        </w:rPr>
      </w:pPr>
      <w:r>
        <w:rPr>
          <w:rFonts w:hint="eastAsia"/>
          <w:color w:val="auto"/>
          <w:lang w:val="en-US" w:eastAsia="zh-CN"/>
        </w:rPr>
        <w:t>带轴类弹性节点：内套金属件为圆轴结构</w:t>
      </w:r>
      <w:r>
        <w:rPr>
          <w:rFonts w:hint="eastAsia"/>
          <w:color w:val="auto"/>
          <w:lang w:eastAsia="zh-CN"/>
        </w:rPr>
        <w:t>的</w:t>
      </w:r>
      <w:r>
        <w:rPr>
          <w:rFonts w:hint="eastAsia"/>
          <w:color w:val="auto"/>
          <w:lang w:val="en-US" w:eastAsia="zh-CN"/>
        </w:rPr>
        <w:t>弹性节点。衬套类弹性节点：内套金属件为圆套结构</w:t>
      </w:r>
      <w:r>
        <w:rPr>
          <w:rFonts w:hint="eastAsia"/>
          <w:color w:val="auto"/>
          <w:lang w:eastAsia="zh-CN"/>
        </w:rPr>
        <w:t>的</w:t>
      </w:r>
      <w:r>
        <w:rPr>
          <w:rFonts w:hint="eastAsia"/>
          <w:color w:val="auto"/>
          <w:lang w:val="en-US" w:eastAsia="zh-CN"/>
        </w:rPr>
        <w:t>弹性节点。</w:t>
      </w:r>
    </w:p>
    <w:p w14:paraId="53764383">
      <w:pPr>
        <w:pStyle w:val="27"/>
        <w:spacing w:line="360" w:lineRule="auto"/>
        <w:ind w:firstLine="420"/>
      </w:pPr>
      <w:r>
        <w:rPr>
          <w:rFonts w:hint="eastAsia"/>
          <w:color w:val="auto"/>
        </w:rPr>
        <w:t>结构形式见图A.3所示。</w:t>
      </w:r>
    </w:p>
    <w:p w14:paraId="1034E96C">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pPr>
      <w:r>
        <w:drawing>
          <wp:inline distT="0" distB="0" distL="114300" distR="114300">
            <wp:extent cx="4340860" cy="1614170"/>
            <wp:effectExtent l="0" t="0" r="0" b="0"/>
            <wp:docPr id="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
                    <pic:cNvPicPr>
                      <a:picLocks noChangeAspect="1"/>
                    </pic:cNvPicPr>
                  </pic:nvPicPr>
                  <pic:blipFill>
                    <a:blip r:embed="rId17"/>
                    <a:srcRect r="-9815"/>
                    <a:stretch>
                      <a:fillRect/>
                    </a:stretch>
                  </pic:blipFill>
                  <pic:spPr>
                    <a:xfrm>
                      <a:off x="0" y="0"/>
                      <a:ext cx="4340860" cy="1614170"/>
                    </a:xfrm>
                    <a:prstGeom prst="rect">
                      <a:avLst/>
                    </a:prstGeom>
                    <a:noFill/>
                    <a:ln>
                      <a:noFill/>
                    </a:ln>
                  </pic:spPr>
                </pic:pic>
              </a:graphicData>
            </a:graphic>
          </wp:inline>
        </w:drawing>
      </w:r>
    </w:p>
    <w:p w14:paraId="10006885">
      <w:pPr>
        <w:bidi w:val="0"/>
        <w:jc w:val="center"/>
        <w:rPr>
          <w:rFonts w:hint="eastAsia" w:eastAsia="宋体"/>
          <w:lang w:val="en-US" w:eastAsia="zh-CN"/>
        </w:rPr>
      </w:pPr>
      <w:r>
        <w:rPr>
          <w:rFonts w:hint="eastAsia"/>
          <w:highlight w:val="none"/>
          <w:lang w:val="en-US" w:eastAsia="zh-CN"/>
        </w:rPr>
        <w:t>a</w:t>
      </w:r>
      <w:r>
        <w:rPr>
          <w:rFonts w:hint="eastAsia"/>
          <w:highlight w:val="none"/>
        </w:rPr>
        <w:t>）</w:t>
      </w:r>
      <w:r>
        <w:rPr>
          <w:rFonts w:hint="eastAsia"/>
          <w:highlight w:val="none"/>
          <w:lang w:val="en-US" w:eastAsia="zh-CN"/>
        </w:rPr>
        <w:t>带轴类</w:t>
      </w:r>
      <w:r>
        <w:rPr>
          <w:highlight w:val="none"/>
        </w:rPr>
        <w:t>弹性节点</w:t>
      </w:r>
      <w:r>
        <w:rPr>
          <w:rFonts w:hint="eastAsia"/>
          <w:highlight w:val="none"/>
          <w:lang w:val="en-US" w:eastAsia="zh-CN"/>
        </w:rPr>
        <w:t>（J</w:t>
      </w:r>
      <w:r>
        <w:rPr>
          <w:rFonts w:hint="eastAsia"/>
          <w:highlight w:val="none"/>
        </w:rPr>
        <w:t>1</w:t>
      </w:r>
      <w:r>
        <w:rPr>
          <w:rFonts w:hint="eastAsia"/>
          <w:highlight w:val="none"/>
          <w:lang w:val="en-US" w:eastAsia="zh-CN"/>
        </w:rPr>
        <w:t>）</w:t>
      </w:r>
      <w:r>
        <w:rPr>
          <w:rFonts w:hint="eastAsia"/>
          <w:highlight w:val="none"/>
        </w:rPr>
        <w:t xml:space="preserve">  </w:t>
      </w:r>
      <w:r>
        <w:rPr>
          <w:rFonts w:hint="eastAsia"/>
        </w:rPr>
        <w:t xml:space="preserve">    </w:t>
      </w:r>
      <w:r>
        <w:rPr>
          <w:rFonts w:hint="eastAsia"/>
          <w:lang w:val="en-US" w:eastAsia="zh-CN"/>
        </w:rPr>
        <w:t xml:space="preserve">   </w:t>
      </w:r>
      <w:r>
        <w:rPr>
          <w:rFonts w:hint="eastAsia"/>
        </w:rPr>
        <w:t xml:space="preserve"> b）</w:t>
      </w:r>
      <w:r>
        <w:rPr>
          <w:rFonts w:hint="eastAsia"/>
          <w:lang w:val="en-US" w:eastAsia="zh-CN"/>
        </w:rPr>
        <w:t>衬套类</w:t>
      </w:r>
      <w:r>
        <w:t>弹性节点</w:t>
      </w:r>
      <w:r>
        <w:rPr>
          <w:rFonts w:hint="eastAsia"/>
          <w:lang w:eastAsia="zh-CN"/>
        </w:rPr>
        <w:t>（</w:t>
      </w:r>
      <w:r>
        <w:rPr>
          <w:rFonts w:hint="eastAsia"/>
          <w:lang w:val="en-US" w:eastAsia="zh-CN"/>
        </w:rPr>
        <w:t>J2</w:t>
      </w:r>
      <w:r>
        <w:rPr>
          <w:rFonts w:hint="eastAsia"/>
          <w:lang w:eastAsia="zh-CN"/>
        </w:rPr>
        <w:t>）</w:t>
      </w:r>
    </w:p>
    <w:p w14:paraId="7AB66F7C">
      <w:pPr>
        <w:bidi w:val="0"/>
        <w:jc w:val="center"/>
      </w:pPr>
      <w:r>
        <w:t>1——金属芯轴；2——橡胶；3——金属外套；4——金属内套。</w:t>
      </w:r>
    </w:p>
    <w:p w14:paraId="46144FC5">
      <w:pPr>
        <w:bidi w:val="0"/>
        <w:jc w:val="center"/>
      </w:pPr>
      <w:r>
        <w:t>图</w:t>
      </w:r>
      <w:r>
        <w:rPr>
          <w:rFonts w:hint="eastAsia"/>
        </w:rPr>
        <w:t>A.3</w:t>
      </w:r>
      <w:r>
        <w:t xml:space="preserve"> 弹性节点示意图</w:t>
      </w:r>
    </w:p>
    <w:p w14:paraId="55D14CE7">
      <w:pPr>
        <w:widowControl/>
        <w:adjustRightInd/>
        <w:spacing w:line="240" w:lineRule="auto"/>
        <w:jc w:val="left"/>
        <w:rPr>
          <w:rFonts w:ascii="黑体" w:hAnsi="Times New Roman" w:eastAsia="黑体"/>
          <w:color w:val="auto"/>
          <w:kern w:val="0"/>
          <w:sz w:val="32"/>
          <w:szCs w:val="20"/>
        </w:rPr>
      </w:pPr>
      <w:r>
        <w:rPr>
          <w:color w:val="auto"/>
        </w:rPr>
        <w:br w:type="page"/>
      </w:r>
    </w:p>
    <w:p w14:paraId="160ECCC6">
      <w:pPr>
        <w:pStyle w:val="3"/>
        <w:spacing w:before="240" w:after="240"/>
        <w:jc w:val="center"/>
        <w:rPr>
          <w:color w:val="auto"/>
        </w:rPr>
      </w:pPr>
      <w:r>
        <w:rPr>
          <w:rFonts w:ascii="黑体" w:hAnsi="Times New Roman" w:eastAsia="黑体" w:cs="Times New Roman"/>
          <w:b w:val="0"/>
          <w:bCs w:val="0"/>
          <w:color w:val="auto"/>
          <w:kern w:val="0"/>
          <w:szCs w:val="20"/>
        </w:rPr>
        <w:t>附</w:t>
      </w:r>
      <w:r>
        <w:rPr>
          <w:rFonts w:hint="eastAsia" w:ascii="黑体" w:hAnsi="Times New Roman" w:eastAsia="黑体" w:cs="Times New Roman"/>
          <w:b w:val="0"/>
          <w:bCs w:val="0"/>
          <w:color w:val="auto"/>
          <w:kern w:val="0"/>
          <w:szCs w:val="20"/>
        </w:rPr>
        <w:t xml:space="preserve">  </w:t>
      </w:r>
      <w:r>
        <w:rPr>
          <w:rFonts w:ascii="黑体" w:hAnsi="Times New Roman" w:eastAsia="黑体" w:cs="Times New Roman"/>
          <w:b w:val="0"/>
          <w:bCs w:val="0"/>
          <w:color w:val="auto"/>
          <w:kern w:val="0"/>
          <w:szCs w:val="20"/>
        </w:rPr>
        <w:t>录</w:t>
      </w:r>
      <w:r>
        <w:rPr>
          <w:rFonts w:hint="eastAsia" w:ascii="黑体" w:hAnsi="Times New Roman" w:eastAsia="黑体" w:cs="Times New Roman"/>
          <w:b w:val="0"/>
          <w:bCs w:val="0"/>
          <w:color w:val="auto"/>
          <w:kern w:val="0"/>
          <w:szCs w:val="20"/>
        </w:rPr>
        <w:t xml:space="preserve">  </w:t>
      </w:r>
      <w:bookmarkEnd w:id="67"/>
      <w:bookmarkEnd w:id="68"/>
      <w:bookmarkEnd w:id="69"/>
      <w:r>
        <w:rPr>
          <w:rFonts w:hint="eastAsia" w:ascii="黑体" w:hAnsi="Times New Roman" w:eastAsia="黑体" w:cs="Times New Roman"/>
          <w:b w:val="0"/>
          <w:bCs w:val="0"/>
          <w:color w:val="auto"/>
          <w:kern w:val="0"/>
          <w:szCs w:val="20"/>
        </w:rPr>
        <w:t>B</w:t>
      </w:r>
    </w:p>
    <w:p w14:paraId="50D277E2">
      <w:pPr>
        <w:pStyle w:val="40"/>
        <w:snapToGrid w:val="0"/>
        <w:spacing w:before="220" w:after="220"/>
        <w:outlineLvl w:val="9"/>
        <w:rPr>
          <w:color w:val="auto"/>
        </w:rPr>
      </w:pPr>
      <w:bookmarkStart w:id="74" w:name="_Toc168053920"/>
      <w:bookmarkStart w:id="75" w:name="_Toc167983290"/>
      <w:bookmarkStart w:id="76" w:name="_Toc167982630"/>
      <w:r>
        <w:rPr>
          <w:color w:val="auto"/>
        </w:rPr>
        <w:t>(资料性)</w:t>
      </w:r>
      <w:bookmarkEnd w:id="74"/>
      <w:bookmarkEnd w:id="75"/>
      <w:bookmarkEnd w:id="76"/>
    </w:p>
    <w:p w14:paraId="354DFC88">
      <w:pPr>
        <w:pStyle w:val="40"/>
        <w:snapToGrid w:val="0"/>
        <w:spacing w:before="220" w:after="220"/>
        <w:outlineLvl w:val="9"/>
        <w:rPr>
          <w:color w:val="auto"/>
        </w:rPr>
      </w:pPr>
      <w:bookmarkStart w:id="77" w:name="_Toc168053921"/>
      <w:bookmarkStart w:id="78" w:name="_Toc167982631"/>
      <w:bookmarkStart w:id="79" w:name="_Toc167983291"/>
      <w:r>
        <w:rPr>
          <w:color w:val="auto"/>
        </w:rPr>
        <w:t>各种能源折标准煤系数</w:t>
      </w:r>
      <w:r>
        <w:rPr>
          <w:rFonts w:hint="eastAsia"/>
          <w:color w:val="auto"/>
        </w:rPr>
        <w:t>(参考值)</w:t>
      </w:r>
      <w:bookmarkEnd w:id="77"/>
      <w:bookmarkEnd w:id="78"/>
      <w:bookmarkEnd w:id="79"/>
    </w:p>
    <w:p w14:paraId="0BDDC8AC">
      <w:pPr>
        <w:pStyle w:val="40"/>
        <w:snapToGrid w:val="0"/>
        <w:spacing w:before="220" w:after="220"/>
        <w:outlineLvl w:val="9"/>
        <w:rPr>
          <w:color w:val="auto"/>
        </w:rPr>
      </w:pPr>
      <w:bookmarkStart w:id="80" w:name="_Toc168053922"/>
      <w:bookmarkStart w:id="81" w:name="_Toc167983292"/>
      <w:bookmarkStart w:id="82" w:name="_Toc167982632"/>
      <w:r>
        <w:rPr>
          <w:color w:val="auto"/>
        </w:rPr>
        <w:t>表</w:t>
      </w:r>
      <w:r>
        <w:rPr>
          <w:rFonts w:hint="eastAsia"/>
          <w:color w:val="auto"/>
        </w:rPr>
        <w:t>B</w:t>
      </w:r>
      <w:r>
        <w:rPr>
          <w:color w:val="auto"/>
        </w:rPr>
        <w:t>.1 液态、固态能源</w:t>
      </w:r>
      <w:bookmarkEnd w:id="80"/>
      <w:bookmarkEnd w:id="81"/>
      <w:bookmarkEnd w:id="82"/>
    </w:p>
    <w:tbl>
      <w:tblPr>
        <w:tblStyle w:val="1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703"/>
        <w:gridCol w:w="2227"/>
        <w:gridCol w:w="2241"/>
        <w:gridCol w:w="3290"/>
      </w:tblGrid>
      <w:tr w14:paraId="78DE4E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93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6682B1A">
            <w:pPr>
              <w:widowControl/>
              <w:spacing w:line="280" w:lineRule="exact"/>
              <w:jc w:val="center"/>
              <w:rPr>
                <w:color w:val="auto"/>
                <w:kern w:val="0"/>
              </w:rPr>
            </w:pPr>
            <w:r>
              <w:rPr>
                <w:color w:val="auto"/>
                <w:kern w:val="0"/>
              </w:rPr>
              <w:t>能源，1</w:t>
            </w:r>
            <w:r>
              <w:rPr>
                <w:rFonts w:hint="eastAsia"/>
                <w:color w:val="auto"/>
                <w:kern w:val="0"/>
              </w:rPr>
              <w:t>kg</w:t>
            </w:r>
          </w:p>
        </w:tc>
        <w:tc>
          <w:tcPr>
            <w:tcW w:w="2241" w:type="dxa"/>
            <w:tcBorders>
              <w:top w:val="single" w:color="auto" w:sz="4" w:space="0"/>
              <w:left w:val="single" w:color="auto" w:sz="4" w:space="0"/>
              <w:bottom w:val="single" w:color="auto" w:sz="4" w:space="0"/>
              <w:right w:val="single" w:color="auto" w:sz="4" w:space="0"/>
            </w:tcBorders>
            <w:shd w:val="clear" w:color="auto" w:fill="auto"/>
            <w:vAlign w:val="center"/>
          </w:tcPr>
          <w:p w14:paraId="754A5C42">
            <w:pPr>
              <w:widowControl/>
              <w:spacing w:line="280" w:lineRule="exact"/>
              <w:jc w:val="center"/>
              <w:rPr>
                <w:color w:val="auto"/>
                <w:kern w:val="0"/>
              </w:rPr>
            </w:pPr>
            <w:r>
              <w:rPr>
                <w:color w:val="auto"/>
                <w:kern w:val="0"/>
              </w:rPr>
              <w:t>平均低位发热量，</w:t>
            </w:r>
            <w:r>
              <w:rPr>
                <w:rFonts w:hint="eastAsia"/>
                <w:color w:val="auto"/>
                <w:kern w:val="0"/>
              </w:rPr>
              <w:t>k</w:t>
            </w:r>
            <w:r>
              <w:rPr>
                <w:color w:val="auto"/>
                <w:kern w:val="0"/>
              </w:rPr>
              <w:t>J</w:t>
            </w:r>
          </w:p>
        </w:tc>
        <w:tc>
          <w:tcPr>
            <w:tcW w:w="3290" w:type="dxa"/>
            <w:tcBorders>
              <w:top w:val="single" w:color="auto" w:sz="4" w:space="0"/>
              <w:left w:val="single" w:color="auto" w:sz="4" w:space="0"/>
              <w:bottom w:val="single" w:color="auto" w:sz="4" w:space="0"/>
              <w:right w:val="single" w:color="auto" w:sz="4" w:space="0"/>
            </w:tcBorders>
            <w:shd w:val="clear" w:color="auto" w:fill="auto"/>
            <w:vAlign w:val="center"/>
          </w:tcPr>
          <w:p w14:paraId="40C24BAF">
            <w:pPr>
              <w:widowControl/>
              <w:spacing w:line="280" w:lineRule="exact"/>
              <w:jc w:val="center"/>
              <w:rPr>
                <w:color w:val="auto"/>
                <w:kern w:val="0"/>
              </w:rPr>
            </w:pPr>
            <w:r>
              <w:rPr>
                <w:color w:val="auto"/>
                <w:kern w:val="0"/>
              </w:rPr>
              <w:t>折标准煤系数，</w:t>
            </w:r>
            <w:r>
              <w:rPr>
                <w:rFonts w:hint="eastAsia"/>
                <w:color w:val="auto"/>
                <w:kern w:val="0"/>
              </w:rPr>
              <w:t>kg</w:t>
            </w:r>
            <w:r>
              <w:rPr>
                <w:color w:val="auto"/>
                <w:kern w:val="0"/>
              </w:rPr>
              <w:t>ce</w:t>
            </w:r>
          </w:p>
        </w:tc>
      </w:tr>
      <w:tr w14:paraId="1C9BF4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93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36B856D">
            <w:pPr>
              <w:widowControl/>
              <w:spacing w:line="280" w:lineRule="exact"/>
              <w:rPr>
                <w:color w:val="auto"/>
                <w:kern w:val="0"/>
              </w:rPr>
            </w:pPr>
            <w:r>
              <w:rPr>
                <w:color w:val="auto"/>
                <w:kern w:val="0"/>
              </w:rPr>
              <w:t>原煤</w:t>
            </w:r>
          </w:p>
        </w:tc>
        <w:tc>
          <w:tcPr>
            <w:tcW w:w="2241" w:type="dxa"/>
            <w:tcBorders>
              <w:top w:val="single" w:color="auto" w:sz="4" w:space="0"/>
              <w:left w:val="single" w:color="auto" w:sz="4" w:space="0"/>
              <w:bottom w:val="single" w:color="auto" w:sz="4" w:space="0"/>
              <w:right w:val="single" w:color="auto" w:sz="4" w:space="0"/>
            </w:tcBorders>
            <w:shd w:val="clear" w:color="auto" w:fill="auto"/>
            <w:vAlign w:val="center"/>
          </w:tcPr>
          <w:p w14:paraId="4EEA5A5F">
            <w:pPr>
              <w:widowControl/>
              <w:spacing w:line="280" w:lineRule="exact"/>
              <w:jc w:val="center"/>
              <w:rPr>
                <w:color w:val="auto"/>
                <w:kern w:val="0"/>
              </w:rPr>
            </w:pPr>
            <w:r>
              <w:rPr>
                <w:color w:val="auto"/>
                <w:kern w:val="0"/>
              </w:rPr>
              <w:t>209</w:t>
            </w:r>
            <w:r>
              <w:rPr>
                <w:rFonts w:hint="eastAsia"/>
                <w:color w:val="auto"/>
                <w:kern w:val="0"/>
              </w:rPr>
              <w:t>34</w:t>
            </w:r>
          </w:p>
        </w:tc>
        <w:tc>
          <w:tcPr>
            <w:tcW w:w="3290" w:type="dxa"/>
            <w:tcBorders>
              <w:top w:val="single" w:color="auto" w:sz="4" w:space="0"/>
              <w:left w:val="single" w:color="auto" w:sz="4" w:space="0"/>
              <w:bottom w:val="single" w:color="auto" w:sz="4" w:space="0"/>
              <w:right w:val="single" w:color="auto" w:sz="4" w:space="0"/>
            </w:tcBorders>
            <w:shd w:val="clear" w:color="auto" w:fill="auto"/>
            <w:vAlign w:val="center"/>
          </w:tcPr>
          <w:p w14:paraId="0F99DC0F">
            <w:pPr>
              <w:widowControl/>
              <w:spacing w:line="280" w:lineRule="exact"/>
              <w:jc w:val="center"/>
              <w:rPr>
                <w:color w:val="auto"/>
                <w:kern w:val="0"/>
              </w:rPr>
            </w:pPr>
            <w:r>
              <w:rPr>
                <w:color w:val="auto"/>
                <w:kern w:val="0"/>
              </w:rPr>
              <w:t>0.7143</w:t>
            </w:r>
          </w:p>
        </w:tc>
      </w:tr>
      <w:tr w14:paraId="261744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93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5FA16C9">
            <w:pPr>
              <w:widowControl/>
              <w:spacing w:line="280" w:lineRule="exact"/>
              <w:rPr>
                <w:color w:val="auto"/>
                <w:kern w:val="0"/>
              </w:rPr>
            </w:pPr>
            <w:r>
              <w:rPr>
                <w:color w:val="auto"/>
                <w:kern w:val="0"/>
              </w:rPr>
              <w:t>洗精煤</w:t>
            </w:r>
          </w:p>
        </w:tc>
        <w:tc>
          <w:tcPr>
            <w:tcW w:w="2241" w:type="dxa"/>
            <w:tcBorders>
              <w:top w:val="single" w:color="auto" w:sz="4" w:space="0"/>
              <w:left w:val="single" w:color="auto" w:sz="4" w:space="0"/>
              <w:bottom w:val="single" w:color="auto" w:sz="4" w:space="0"/>
              <w:right w:val="single" w:color="auto" w:sz="4" w:space="0"/>
            </w:tcBorders>
            <w:shd w:val="clear" w:color="auto" w:fill="auto"/>
            <w:vAlign w:val="center"/>
          </w:tcPr>
          <w:p w14:paraId="0648DAB0">
            <w:pPr>
              <w:widowControl/>
              <w:spacing w:line="280" w:lineRule="exact"/>
              <w:jc w:val="center"/>
              <w:rPr>
                <w:color w:val="auto"/>
                <w:kern w:val="0"/>
              </w:rPr>
            </w:pPr>
            <w:r>
              <w:rPr>
                <w:color w:val="auto"/>
                <w:kern w:val="0"/>
              </w:rPr>
              <w:t>263</w:t>
            </w:r>
            <w:r>
              <w:rPr>
                <w:rFonts w:hint="eastAsia"/>
                <w:color w:val="auto"/>
                <w:kern w:val="0"/>
              </w:rPr>
              <w:t>77</w:t>
            </w:r>
          </w:p>
        </w:tc>
        <w:tc>
          <w:tcPr>
            <w:tcW w:w="3290" w:type="dxa"/>
            <w:tcBorders>
              <w:top w:val="single" w:color="auto" w:sz="4" w:space="0"/>
              <w:left w:val="single" w:color="auto" w:sz="4" w:space="0"/>
              <w:bottom w:val="single" w:color="auto" w:sz="4" w:space="0"/>
              <w:right w:val="single" w:color="auto" w:sz="4" w:space="0"/>
            </w:tcBorders>
            <w:shd w:val="clear" w:color="auto" w:fill="auto"/>
            <w:vAlign w:val="center"/>
          </w:tcPr>
          <w:p w14:paraId="33FA5839">
            <w:pPr>
              <w:widowControl/>
              <w:spacing w:line="280" w:lineRule="exact"/>
              <w:jc w:val="center"/>
              <w:rPr>
                <w:color w:val="auto"/>
                <w:kern w:val="0"/>
              </w:rPr>
            </w:pPr>
            <w:r>
              <w:rPr>
                <w:color w:val="auto"/>
                <w:kern w:val="0"/>
              </w:rPr>
              <w:t xml:space="preserve">0.9000 </w:t>
            </w:r>
          </w:p>
        </w:tc>
      </w:tr>
      <w:tr w14:paraId="4D1456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5B421A8">
            <w:pPr>
              <w:widowControl/>
              <w:spacing w:line="280" w:lineRule="exact"/>
              <w:rPr>
                <w:color w:val="auto"/>
                <w:kern w:val="0"/>
              </w:rPr>
            </w:pPr>
            <w:r>
              <w:rPr>
                <w:color w:val="auto"/>
                <w:kern w:val="0"/>
              </w:rPr>
              <w:t>其它洗煤</w:t>
            </w:r>
          </w:p>
        </w:tc>
        <w:tc>
          <w:tcPr>
            <w:tcW w:w="2227" w:type="dxa"/>
            <w:tcBorders>
              <w:top w:val="single" w:color="auto" w:sz="4" w:space="0"/>
              <w:left w:val="single" w:color="auto" w:sz="4" w:space="0"/>
              <w:bottom w:val="single" w:color="auto" w:sz="4" w:space="0"/>
              <w:right w:val="single" w:color="auto" w:sz="4" w:space="0"/>
            </w:tcBorders>
            <w:shd w:val="clear" w:color="auto" w:fill="auto"/>
            <w:vAlign w:val="center"/>
          </w:tcPr>
          <w:p w14:paraId="4A7C0991">
            <w:pPr>
              <w:widowControl/>
              <w:spacing w:line="280" w:lineRule="exact"/>
              <w:rPr>
                <w:color w:val="auto"/>
                <w:kern w:val="0"/>
              </w:rPr>
            </w:pPr>
            <w:r>
              <w:rPr>
                <w:color w:val="auto"/>
                <w:kern w:val="0"/>
              </w:rPr>
              <w:t>洗中煤</w:t>
            </w:r>
          </w:p>
        </w:tc>
        <w:tc>
          <w:tcPr>
            <w:tcW w:w="2241" w:type="dxa"/>
            <w:tcBorders>
              <w:top w:val="single" w:color="auto" w:sz="4" w:space="0"/>
              <w:left w:val="single" w:color="auto" w:sz="4" w:space="0"/>
              <w:bottom w:val="single" w:color="auto" w:sz="4" w:space="0"/>
              <w:right w:val="single" w:color="auto" w:sz="4" w:space="0"/>
            </w:tcBorders>
            <w:shd w:val="clear" w:color="auto" w:fill="auto"/>
            <w:vAlign w:val="center"/>
          </w:tcPr>
          <w:p w14:paraId="1387C9DC">
            <w:pPr>
              <w:widowControl/>
              <w:spacing w:line="280" w:lineRule="exact"/>
              <w:jc w:val="center"/>
              <w:rPr>
                <w:color w:val="auto"/>
                <w:kern w:val="0"/>
              </w:rPr>
            </w:pPr>
            <w:r>
              <w:rPr>
                <w:color w:val="auto"/>
                <w:kern w:val="0"/>
              </w:rPr>
              <w:t>83</w:t>
            </w:r>
            <w:r>
              <w:rPr>
                <w:rFonts w:hint="eastAsia"/>
                <w:color w:val="auto"/>
                <w:kern w:val="0"/>
              </w:rPr>
              <w:t>74</w:t>
            </w:r>
          </w:p>
        </w:tc>
        <w:tc>
          <w:tcPr>
            <w:tcW w:w="3290" w:type="dxa"/>
            <w:tcBorders>
              <w:top w:val="single" w:color="auto" w:sz="4" w:space="0"/>
              <w:left w:val="single" w:color="auto" w:sz="4" w:space="0"/>
              <w:bottom w:val="single" w:color="auto" w:sz="4" w:space="0"/>
              <w:right w:val="single" w:color="auto" w:sz="4" w:space="0"/>
            </w:tcBorders>
            <w:shd w:val="clear" w:color="auto" w:fill="auto"/>
            <w:vAlign w:val="center"/>
          </w:tcPr>
          <w:p w14:paraId="5B57A9A7">
            <w:pPr>
              <w:widowControl/>
              <w:spacing w:line="280" w:lineRule="exact"/>
              <w:jc w:val="center"/>
              <w:rPr>
                <w:color w:val="auto"/>
                <w:kern w:val="0"/>
              </w:rPr>
            </w:pPr>
            <w:r>
              <w:rPr>
                <w:color w:val="auto"/>
                <w:kern w:val="0"/>
              </w:rPr>
              <w:t xml:space="preserve">0.2857 </w:t>
            </w:r>
          </w:p>
        </w:tc>
      </w:tr>
      <w:tr w14:paraId="7E6894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04220CD">
            <w:pPr>
              <w:widowControl/>
              <w:spacing w:line="280" w:lineRule="exact"/>
              <w:rPr>
                <w:color w:val="auto"/>
                <w:kern w:val="0"/>
              </w:rPr>
            </w:pPr>
          </w:p>
        </w:tc>
        <w:tc>
          <w:tcPr>
            <w:tcW w:w="2227" w:type="dxa"/>
            <w:tcBorders>
              <w:top w:val="single" w:color="auto" w:sz="4" w:space="0"/>
              <w:left w:val="single" w:color="auto" w:sz="4" w:space="0"/>
              <w:bottom w:val="single" w:color="auto" w:sz="4" w:space="0"/>
              <w:right w:val="single" w:color="auto" w:sz="4" w:space="0"/>
            </w:tcBorders>
            <w:shd w:val="clear" w:color="auto" w:fill="auto"/>
            <w:vAlign w:val="center"/>
          </w:tcPr>
          <w:p w14:paraId="23F12B58">
            <w:pPr>
              <w:widowControl/>
              <w:spacing w:line="280" w:lineRule="exact"/>
              <w:rPr>
                <w:color w:val="auto"/>
                <w:kern w:val="0"/>
              </w:rPr>
            </w:pPr>
            <w:r>
              <w:rPr>
                <w:color w:val="auto"/>
                <w:kern w:val="0"/>
              </w:rPr>
              <w:t>煤泥</w:t>
            </w:r>
          </w:p>
        </w:tc>
        <w:tc>
          <w:tcPr>
            <w:tcW w:w="2241" w:type="dxa"/>
            <w:tcBorders>
              <w:top w:val="single" w:color="auto" w:sz="4" w:space="0"/>
              <w:left w:val="single" w:color="auto" w:sz="4" w:space="0"/>
              <w:bottom w:val="single" w:color="auto" w:sz="4" w:space="0"/>
              <w:right w:val="single" w:color="auto" w:sz="4" w:space="0"/>
            </w:tcBorders>
            <w:shd w:val="clear" w:color="auto" w:fill="auto"/>
            <w:vAlign w:val="center"/>
          </w:tcPr>
          <w:p w14:paraId="7618A4C2">
            <w:pPr>
              <w:widowControl/>
              <w:spacing w:line="280" w:lineRule="exact"/>
              <w:jc w:val="center"/>
              <w:rPr>
                <w:color w:val="auto"/>
                <w:kern w:val="0"/>
              </w:rPr>
            </w:pPr>
            <w:r>
              <w:rPr>
                <w:color w:val="auto"/>
                <w:kern w:val="0"/>
              </w:rPr>
              <w:t>83</w:t>
            </w:r>
            <w:r>
              <w:rPr>
                <w:rFonts w:hint="eastAsia"/>
                <w:color w:val="auto"/>
                <w:kern w:val="0"/>
              </w:rPr>
              <w:t>74</w:t>
            </w:r>
            <w:r>
              <w:rPr>
                <w:color w:val="auto"/>
                <w:kern w:val="0"/>
              </w:rPr>
              <w:t>～125</w:t>
            </w:r>
            <w:r>
              <w:rPr>
                <w:rFonts w:hint="eastAsia"/>
                <w:color w:val="auto"/>
                <w:kern w:val="0"/>
              </w:rPr>
              <w:t>60</w:t>
            </w:r>
          </w:p>
        </w:tc>
        <w:tc>
          <w:tcPr>
            <w:tcW w:w="3290" w:type="dxa"/>
            <w:tcBorders>
              <w:top w:val="single" w:color="auto" w:sz="4" w:space="0"/>
              <w:left w:val="single" w:color="auto" w:sz="4" w:space="0"/>
              <w:bottom w:val="single" w:color="auto" w:sz="4" w:space="0"/>
              <w:right w:val="single" w:color="auto" w:sz="4" w:space="0"/>
            </w:tcBorders>
            <w:shd w:val="clear" w:color="auto" w:fill="auto"/>
            <w:vAlign w:val="center"/>
          </w:tcPr>
          <w:p w14:paraId="2A75A5DB">
            <w:pPr>
              <w:widowControl/>
              <w:spacing w:line="280" w:lineRule="exact"/>
              <w:jc w:val="center"/>
              <w:rPr>
                <w:color w:val="auto"/>
                <w:kern w:val="0"/>
              </w:rPr>
            </w:pPr>
            <w:r>
              <w:rPr>
                <w:color w:val="auto"/>
                <w:kern w:val="0"/>
              </w:rPr>
              <w:t>0.2857~0.4286</w:t>
            </w:r>
          </w:p>
        </w:tc>
      </w:tr>
      <w:tr w14:paraId="4B1B00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93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D0E54B2">
            <w:pPr>
              <w:widowControl/>
              <w:spacing w:line="280" w:lineRule="exact"/>
              <w:rPr>
                <w:color w:val="auto"/>
                <w:kern w:val="0"/>
              </w:rPr>
            </w:pPr>
            <w:r>
              <w:rPr>
                <w:color w:val="auto"/>
                <w:kern w:val="0"/>
              </w:rPr>
              <w:t>原油</w:t>
            </w:r>
          </w:p>
        </w:tc>
        <w:tc>
          <w:tcPr>
            <w:tcW w:w="2241" w:type="dxa"/>
            <w:tcBorders>
              <w:top w:val="single" w:color="auto" w:sz="4" w:space="0"/>
              <w:left w:val="single" w:color="auto" w:sz="4" w:space="0"/>
              <w:bottom w:val="single" w:color="auto" w:sz="4" w:space="0"/>
              <w:right w:val="single" w:color="auto" w:sz="4" w:space="0"/>
            </w:tcBorders>
            <w:shd w:val="clear" w:color="auto" w:fill="auto"/>
            <w:vAlign w:val="center"/>
          </w:tcPr>
          <w:p w14:paraId="79D3FAEA">
            <w:pPr>
              <w:widowControl/>
              <w:spacing w:line="280" w:lineRule="exact"/>
              <w:jc w:val="center"/>
              <w:rPr>
                <w:color w:val="auto"/>
                <w:kern w:val="0"/>
              </w:rPr>
            </w:pPr>
            <w:r>
              <w:rPr>
                <w:color w:val="auto"/>
                <w:kern w:val="0"/>
              </w:rPr>
              <w:t>418</w:t>
            </w:r>
            <w:r>
              <w:rPr>
                <w:rFonts w:hint="eastAsia"/>
                <w:color w:val="auto"/>
                <w:kern w:val="0"/>
              </w:rPr>
              <w:t>68</w:t>
            </w:r>
          </w:p>
        </w:tc>
        <w:tc>
          <w:tcPr>
            <w:tcW w:w="3290" w:type="dxa"/>
            <w:tcBorders>
              <w:top w:val="single" w:color="auto" w:sz="4" w:space="0"/>
              <w:left w:val="single" w:color="auto" w:sz="4" w:space="0"/>
              <w:bottom w:val="single" w:color="auto" w:sz="4" w:space="0"/>
              <w:right w:val="single" w:color="auto" w:sz="4" w:space="0"/>
            </w:tcBorders>
            <w:shd w:val="clear" w:color="auto" w:fill="auto"/>
            <w:vAlign w:val="center"/>
          </w:tcPr>
          <w:p w14:paraId="544DE36F">
            <w:pPr>
              <w:widowControl/>
              <w:spacing w:line="280" w:lineRule="exact"/>
              <w:jc w:val="center"/>
              <w:rPr>
                <w:color w:val="auto"/>
                <w:kern w:val="0"/>
              </w:rPr>
            </w:pPr>
            <w:r>
              <w:rPr>
                <w:color w:val="auto"/>
                <w:kern w:val="0"/>
              </w:rPr>
              <w:t>1.4286</w:t>
            </w:r>
          </w:p>
        </w:tc>
      </w:tr>
      <w:tr w14:paraId="277B6D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93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5DDCDAF">
            <w:pPr>
              <w:widowControl/>
              <w:spacing w:line="280" w:lineRule="exact"/>
              <w:rPr>
                <w:color w:val="auto"/>
                <w:kern w:val="0"/>
              </w:rPr>
            </w:pPr>
            <w:r>
              <w:rPr>
                <w:color w:val="auto"/>
                <w:kern w:val="0"/>
              </w:rPr>
              <w:t>燃料油</w:t>
            </w:r>
          </w:p>
        </w:tc>
        <w:tc>
          <w:tcPr>
            <w:tcW w:w="2241" w:type="dxa"/>
            <w:tcBorders>
              <w:top w:val="single" w:color="auto" w:sz="4" w:space="0"/>
              <w:left w:val="single" w:color="auto" w:sz="4" w:space="0"/>
              <w:bottom w:val="single" w:color="auto" w:sz="4" w:space="0"/>
              <w:right w:val="single" w:color="auto" w:sz="4" w:space="0"/>
            </w:tcBorders>
            <w:shd w:val="clear" w:color="auto" w:fill="auto"/>
            <w:vAlign w:val="center"/>
          </w:tcPr>
          <w:p w14:paraId="0928A00C">
            <w:pPr>
              <w:widowControl/>
              <w:spacing w:line="280" w:lineRule="exact"/>
              <w:jc w:val="center"/>
              <w:rPr>
                <w:color w:val="auto"/>
                <w:kern w:val="0"/>
              </w:rPr>
            </w:pPr>
            <w:r>
              <w:rPr>
                <w:color w:val="auto"/>
                <w:kern w:val="0"/>
              </w:rPr>
              <w:t>418</w:t>
            </w:r>
            <w:r>
              <w:rPr>
                <w:rFonts w:hint="eastAsia"/>
                <w:color w:val="auto"/>
                <w:kern w:val="0"/>
              </w:rPr>
              <w:t>68</w:t>
            </w:r>
          </w:p>
        </w:tc>
        <w:tc>
          <w:tcPr>
            <w:tcW w:w="3290" w:type="dxa"/>
            <w:tcBorders>
              <w:top w:val="single" w:color="auto" w:sz="4" w:space="0"/>
              <w:left w:val="single" w:color="auto" w:sz="4" w:space="0"/>
              <w:bottom w:val="single" w:color="auto" w:sz="4" w:space="0"/>
              <w:right w:val="single" w:color="auto" w:sz="4" w:space="0"/>
            </w:tcBorders>
            <w:shd w:val="clear" w:color="auto" w:fill="auto"/>
            <w:vAlign w:val="center"/>
          </w:tcPr>
          <w:p w14:paraId="7690AE4B">
            <w:pPr>
              <w:widowControl/>
              <w:spacing w:line="280" w:lineRule="exact"/>
              <w:jc w:val="center"/>
              <w:rPr>
                <w:color w:val="auto"/>
                <w:kern w:val="0"/>
              </w:rPr>
            </w:pPr>
            <w:r>
              <w:rPr>
                <w:color w:val="auto"/>
                <w:kern w:val="0"/>
              </w:rPr>
              <w:t>1.4286</w:t>
            </w:r>
          </w:p>
        </w:tc>
      </w:tr>
      <w:tr w14:paraId="6879D7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93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522DEDF">
            <w:pPr>
              <w:widowControl/>
              <w:spacing w:line="280" w:lineRule="exact"/>
              <w:rPr>
                <w:color w:val="auto"/>
                <w:kern w:val="0"/>
              </w:rPr>
            </w:pPr>
            <w:r>
              <w:rPr>
                <w:color w:val="auto"/>
                <w:kern w:val="0"/>
              </w:rPr>
              <w:t>汽油</w:t>
            </w:r>
          </w:p>
        </w:tc>
        <w:tc>
          <w:tcPr>
            <w:tcW w:w="2241" w:type="dxa"/>
            <w:tcBorders>
              <w:top w:val="single" w:color="auto" w:sz="4" w:space="0"/>
              <w:left w:val="single" w:color="auto" w:sz="4" w:space="0"/>
              <w:bottom w:val="single" w:color="auto" w:sz="4" w:space="0"/>
              <w:right w:val="single" w:color="auto" w:sz="4" w:space="0"/>
            </w:tcBorders>
            <w:shd w:val="clear" w:color="auto" w:fill="auto"/>
            <w:vAlign w:val="center"/>
          </w:tcPr>
          <w:p w14:paraId="65CCE1C8">
            <w:pPr>
              <w:widowControl/>
              <w:spacing w:line="280" w:lineRule="exact"/>
              <w:jc w:val="center"/>
              <w:rPr>
                <w:color w:val="auto"/>
                <w:kern w:val="0"/>
              </w:rPr>
            </w:pPr>
            <w:r>
              <w:rPr>
                <w:color w:val="auto"/>
                <w:kern w:val="0"/>
              </w:rPr>
              <w:t>43</w:t>
            </w:r>
            <w:r>
              <w:rPr>
                <w:rFonts w:hint="eastAsia"/>
                <w:color w:val="auto"/>
                <w:kern w:val="0"/>
              </w:rPr>
              <w:t>124</w:t>
            </w:r>
          </w:p>
        </w:tc>
        <w:tc>
          <w:tcPr>
            <w:tcW w:w="3290" w:type="dxa"/>
            <w:tcBorders>
              <w:top w:val="single" w:color="auto" w:sz="4" w:space="0"/>
              <w:left w:val="single" w:color="auto" w:sz="4" w:space="0"/>
              <w:bottom w:val="single" w:color="auto" w:sz="4" w:space="0"/>
              <w:right w:val="single" w:color="auto" w:sz="4" w:space="0"/>
            </w:tcBorders>
            <w:shd w:val="clear" w:color="auto" w:fill="auto"/>
            <w:vAlign w:val="center"/>
          </w:tcPr>
          <w:p w14:paraId="7FFEAE83">
            <w:pPr>
              <w:widowControl/>
              <w:spacing w:line="280" w:lineRule="exact"/>
              <w:jc w:val="center"/>
              <w:rPr>
                <w:color w:val="auto"/>
                <w:kern w:val="0"/>
              </w:rPr>
            </w:pPr>
            <w:r>
              <w:rPr>
                <w:color w:val="auto"/>
                <w:kern w:val="0"/>
              </w:rPr>
              <w:t>1.4714</w:t>
            </w:r>
          </w:p>
        </w:tc>
      </w:tr>
      <w:tr w14:paraId="2A1A44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93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5443953">
            <w:pPr>
              <w:widowControl/>
              <w:spacing w:line="280" w:lineRule="exact"/>
              <w:rPr>
                <w:color w:val="auto"/>
                <w:kern w:val="0"/>
              </w:rPr>
            </w:pPr>
            <w:r>
              <w:rPr>
                <w:color w:val="auto"/>
                <w:kern w:val="0"/>
              </w:rPr>
              <w:t>煤油</w:t>
            </w:r>
          </w:p>
        </w:tc>
        <w:tc>
          <w:tcPr>
            <w:tcW w:w="2241" w:type="dxa"/>
            <w:tcBorders>
              <w:top w:val="single" w:color="auto" w:sz="4" w:space="0"/>
              <w:left w:val="single" w:color="auto" w:sz="4" w:space="0"/>
              <w:bottom w:val="single" w:color="auto" w:sz="4" w:space="0"/>
              <w:right w:val="single" w:color="auto" w:sz="4" w:space="0"/>
            </w:tcBorders>
            <w:shd w:val="clear" w:color="auto" w:fill="auto"/>
            <w:vAlign w:val="center"/>
          </w:tcPr>
          <w:p w14:paraId="4557F507">
            <w:pPr>
              <w:widowControl/>
              <w:spacing w:line="280" w:lineRule="exact"/>
              <w:jc w:val="center"/>
              <w:rPr>
                <w:color w:val="auto"/>
                <w:kern w:val="0"/>
              </w:rPr>
            </w:pPr>
            <w:r>
              <w:rPr>
                <w:color w:val="auto"/>
                <w:kern w:val="0"/>
              </w:rPr>
              <w:t>43</w:t>
            </w:r>
            <w:r>
              <w:rPr>
                <w:rFonts w:hint="eastAsia"/>
                <w:color w:val="auto"/>
                <w:kern w:val="0"/>
              </w:rPr>
              <w:t>124</w:t>
            </w:r>
          </w:p>
        </w:tc>
        <w:tc>
          <w:tcPr>
            <w:tcW w:w="3290" w:type="dxa"/>
            <w:tcBorders>
              <w:top w:val="single" w:color="auto" w:sz="4" w:space="0"/>
              <w:left w:val="single" w:color="auto" w:sz="4" w:space="0"/>
              <w:bottom w:val="single" w:color="auto" w:sz="4" w:space="0"/>
              <w:right w:val="single" w:color="auto" w:sz="4" w:space="0"/>
            </w:tcBorders>
            <w:shd w:val="clear" w:color="auto" w:fill="auto"/>
            <w:vAlign w:val="center"/>
          </w:tcPr>
          <w:p w14:paraId="5A5FD925">
            <w:pPr>
              <w:widowControl/>
              <w:spacing w:line="280" w:lineRule="exact"/>
              <w:jc w:val="center"/>
              <w:rPr>
                <w:color w:val="auto"/>
                <w:kern w:val="0"/>
              </w:rPr>
            </w:pPr>
            <w:r>
              <w:rPr>
                <w:color w:val="auto"/>
                <w:kern w:val="0"/>
              </w:rPr>
              <w:t>1.4714</w:t>
            </w:r>
          </w:p>
        </w:tc>
      </w:tr>
      <w:tr w14:paraId="60C77A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93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CCFFB98">
            <w:pPr>
              <w:widowControl/>
              <w:spacing w:line="280" w:lineRule="exact"/>
              <w:rPr>
                <w:color w:val="auto"/>
                <w:kern w:val="0"/>
              </w:rPr>
            </w:pPr>
            <w:r>
              <w:rPr>
                <w:color w:val="auto"/>
                <w:kern w:val="0"/>
              </w:rPr>
              <w:t>柴油</w:t>
            </w:r>
          </w:p>
        </w:tc>
        <w:tc>
          <w:tcPr>
            <w:tcW w:w="2241" w:type="dxa"/>
            <w:tcBorders>
              <w:top w:val="single" w:color="auto" w:sz="4" w:space="0"/>
              <w:left w:val="single" w:color="auto" w:sz="4" w:space="0"/>
              <w:bottom w:val="single" w:color="auto" w:sz="4" w:space="0"/>
              <w:right w:val="single" w:color="auto" w:sz="4" w:space="0"/>
            </w:tcBorders>
            <w:shd w:val="clear" w:color="auto" w:fill="auto"/>
            <w:vAlign w:val="center"/>
          </w:tcPr>
          <w:p w14:paraId="61F3C9FD">
            <w:pPr>
              <w:widowControl/>
              <w:spacing w:line="280" w:lineRule="exact"/>
              <w:jc w:val="center"/>
              <w:rPr>
                <w:color w:val="auto"/>
                <w:kern w:val="0"/>
              </w:rPr>
            </w:pPr>
            <w:r>
              <w:rPr>
                <w:color w:val="auto"/>
                <w:kern w:val="0"/>
              </w:rPr>
              <w:t>42</w:t>
            </w:r>
            <w:r>
              <w:rPr>
                <w:rFonts w:hint="eastAsia"/>
                <w:color w:val="auto"/>
                <w:kern w:val="0"/>
              </w:rPr>
              <w:t>705</w:t>
            </w:r>
          </w:p>
        </w:tc>
        <w:tc>
          <w:tcPr>
            <w:tcW w:w="3290" w:type="dxa"/>
            <w:tcBorders>
              <w:top w:val="single" w:color="auto" w:sz="4" w:space="0"/>
              <w:left w:val="single" w:color="auto" w:sz="4" w:space="0"/>
              <w:bottom w:val="single" w:color="auto" w:sz="4" w:space="0"/>
              <w:right w:val="single" w:color="auto" w:sz="4" w:space="0"/>
            </w:tcBorders>
            <w:shd w:val="clear" w:color="auto" w:fill="auto"/>
            <w:vAlign w:val="center"/>
          </w:tcPr>
          <w:p w14:paraId="6098CB98">
            <w:pPr>
              <w:widowControl/>
              <w:spacing w:line="280" w:lineRule="exact"/>
              <w:jc w:val="center"/>
              <w:rPr>
                <w:color w:val="auto"/>
                <w:kern w:val="0"/>
              </w:rPr>
            </w:pPr>
            <w:r>
              <w:rPr>
                <w:color w:val="auto"/>
                <w:kern w:val="0"/>
              </w:rPr>
              <w:t>1.4571</w:t>
            </w:r>
          </w:p>
        </w:tc>
      </w:tr>
      <w:tr w14:paraId="6FE8BD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93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FB3A378">
            <w:pPr>
              <w:widowControl/>
              <w:spacing w:line="280" w:lineRule="exact"/>
              <w:rPr>
                <w:color w:val="auto"/>
                <w:kern w:val="0"/>
              </w:rPr>
            </w:pPr>
            <w:r>
              <w:rPr>
                <w:color w:val="auto"/>
                <w:kern w:val="0"/>
              </w:rPr>
              <w:t>煤焦油</w:t>
            </w:r>
          </w:p>
        </w:tc>
        <w:tc>
          <w:tcPr>
            <w:tcW w:w="2241" w:type="dxa"/>
            <w:tcBorders>
              <w:top w:val="single" w:color="auto" w:sz="4" w:space="0"/>
              <w:left w:val="single" w:color="auto" w:sz="4" w:space="0"/>
              <w:bottom w:val="single" w:color="auto" w:sz="4" w:space="0"/>
              <w:right w:val="single" w:color="auto" w:sz="4" w:space="0"/>
            </w:tcBorders>
            <w:shd w:val="clear" w:color="auto" w:fill="auto"/>
            <w:vAlign w:val="center"/>
          </w:tcPr>
          <w:p w14:paraId="09930F0F">
            <w:pPr>
              <w:widowControl/>
              <w:spacing w:line="280" w:lineRule="exact"/>
              <w:jc w:val="center"/>
              <w:rPr>
                <w:color w:val="auto"/>
                <w:kern w:val="0"/>
              </w:rPr>
            </w:pPr>
            <w:r>
              <w:rPr>
                <w:color w:val="auto"/>
                <w:kern w:val="0"/>
              </w:rPr>
              <w:t>334</w:t>
            </w:r>
            <w:r>
              <w:rPr>
                <w:rFonts w:hint="eastAsia"/>
                <w:color w:val="auto"/>
                <w:kern w:val="0"/>
              </w:rPr>
              <w:t>94</w:t>
            </w:r>
          </w:p>
        </w:tc>
        <w:tc>
          <w:tcPr>
            <w:tcW w:w="3290" w:type="dxa"/>
            <w:tcBorders>
              <w:top w:val="single" w:color="auto" w:sz="4" w:space="0"/>
              <w:left w:val="single" w:color="auto" w:sz="4" w:space="0"/>
              <w:bottom w:val="single" w:color="auto" w:sz="4" w:space="0"/>
              <w:right w:val="single" w:color="auto" w:sz="4" w:space="0"/>
            </w:tcBorders>
            <w:shd w:val="clear" w:color="auto" w:fill="auto"/>
            <w:vAlign w:val="center"/>
          </w:tcPr>
          <w:p w14:paraId="69B56B78">
            <w:pPr>
              <w:widowControl/>
              <w:spacing w:line="280" w:lineRule="exact"/>
              <w:jc w:val="center"/>
              <w:rPr>
                <w:color w:val="auto"/>
                <w:kern w:val="0"/>
              </w:rPr>
            </w:pPr>
            <w:r>
              <w:rPr>
                <w:color w:val="auto"/>
                <w:kern w:val="0"/>
              </w:rPr>
              <w:t>1.1429</w:t>
            </w:r>
          </w:p>
        </w:tc>
      </w:tr>
      <w:tr w14:paraId="41111E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93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EAF28DD">
            <w:pPr>
              <w:widowControl/>
              <w:spacing w:line="280" w:lineRule="exact"/>
              <w:rPr>
                <w:color w:val="auto"/>
                <w:kern w:val="0"/>
              </w:rPr>
            </w:pPr>
            <w:r>
              <w:rPr>
                <w:color w:val="auto"/>
                <w:kern w:val="0"/>
              </w:rPr>
              <w:t>配制油*</w:t>
            </w:r>
          </w:p>
        </w:tc>
        <w:tc>
          <w:tcPr>
            <w:tcW w:w="2241" w:type="dxa"/>
            <w:tcBorders>
              <w:top w:val="single" w:color="auto" w:sz="4" w:space="0"/>
              <w:left w:val="single" w:color="auto" w:sz="4" w:space="0"/>
              <w:bottom w:val="single" w:color="auto" w:sz="4" w:space="0"/>
              <w:right w:val="single" w:color="auto" w:sz="4" w:space="0"/>
            </w:tcBorders>
            <w:shd w:val="clear" w:color="auto" w:fill="auto"/>
            <w:vAlign w:val="center"/>
          </w:tcPr>
          <w:p w14:paraId="30BF904F">
            <w:pPr>
              <w:widowControl/>
              <w:spacing w:line="280" w:lineRule="exact"/>
              <w:jc w:val="center"/>
              <w:rPr>
                <w:color w:val="auto"/>
                <w:kern w:val="0"/>
              </w:rPr>
            </w:pPr>
            <w:r>
              <w:rPr>
                <w:color w:val="auto"/>
                <w:kern w:val="0"/>
              </w:rPr>
              <w:t>36006</w:t>
            </w:r>
          </w:p>
        </w:tc>
        <w:tc>
          <w:tcPr>
            <w:tcW w:w="3290" w:type="dxa"/>
            <w:tcBorders>
              <w:top w:val="single" w:color="auto" w:sz="4" w:space="0"/>
              <w:left w:val="single" w:color="auto" w:sz="4" w:space="0"/>
              <w:bottom w:val="single" w:color="auto" w:sz="4" w:space="0"/>
              <w:right w:val="single" w:color="auto" w:sz="4" w:space="0"/>
            </w:tcBorders>
            <w:shd w:val="clear" w:color="auto" w:fill="auto"/>
            <w:vAlign w:val="center"/>
          </w:tcPr>
          <w:p w14:paraId="4010015D">
            <w:pPr>
              <w:widowControl/>
              <w:spacing w:line="280" w:lineRule="exact"/>
              <w:jc w:val="center"/>
              <w:rPr>
                <w:color w:val="auto"/>
                <w:kern w:val="0"/>
              </w:rPr>
            </w:pPr>
            <w:r>
              <w:rPr>
                <w:color w:val="auto"/>
              </w:rPr>
              <w:t>1.2286</w:t>
            </w:r>
          </w:p>
        </w:tc>
      </w:tr>
      <w:tr w14:paraId="70C2AC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93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8C76806">
            <w:pPr>
              <w:widowControl/>
              <w:spacing w:line="280" w:lineRule="exact"/>
              <w:rPr>
                <w:color w:val="auto"/>
                <w:kern w:val="0"/>
              </w:rPr>
            </w:pPr>
            <w:r>
              <w:rPr>
                <w:color w:val="auto"/>
                <w:kern w:val="0"/>
              </w:rPr>
              <w:t>蒽油</w:t>
            </w:r>
          </w:p>
        </w:tc>
        <w:tc>
          <w:tcPr>
            <w:tcW w:w="2241" w:type="dxa"/>
            <w:tcBorders>
              <w:top w:val="single" w:color="auto" w:sz="4" w:space="0"/>
              <w:left w:val="single" w:color="auto" w:sz="4" w:space="0"/>
              <w:bottom w:val="single" w:color="auto" w:sz="4" w:space="0"/>
              <w:right w:val="single" w:color="auto" w:sz="4" w:space="0"/>
            </w:tcBorders>
            <w:shd w:val="clear" w:color="auto" w:fill="auto"/>
            <w:vAlign w:val="center"/>
          </w:tcPr>
          <w:p w14:paraId="24EE8087">
            <w:pPr>
              <w:widowControl/>
              <w:spacing w:line="280" w:lineRule="exact"/>
              <w:jc w:val="center"/>
              <w:rPr>
                <w:color w:val="auto"/>
                <w:kern w:val="0"/>
              </w:rPr>
            </w:pPr>
            <w:r>
              <w:rPr>
                <w:color w:val="auto"/>
                <w:kern w:val="0"/>
              </w:rPr>
              <w:t>36844</w:t>
            </w:r>
          </w:p>
        </w:tc>
        <w:tc>
          <w:tcPr>
            <w:tcW w:w="3290" w:type="dxa"/>
            <w:tcBorders>
              <w:top w:val="single" w:color="auto" w:sz="4" w:space="0"/>
              <w:left w:val="single" w:color="auto" w:sz="4" w:space="0"/>
              <w:bottom w:val="single" w:color="auto" w:sz="4" w:space="0"/>
              <w:right w:val="single" w:color="auto" w:sz="4" w:space="0"/>
            </w:tcBorders>
            <w:shd w:val="clear" w:color="auto" w:fill="auto"/>
            <w:vAlign w:val="center"/>
          </w:tcPr>
          <w:p w14:paraId="6CC5866B">
            <w:pPr>
              <w:widowControl/>
              <w:spacing w:line="280" w:lineRule="exact"/>
              <w:jc w:val="center"/>
              <w:rPr>
                <w:color w:val="auto"/>
                <w:kern w:val="0"/>
              </w:rPr>
            </w:pPr>
            <w:r>
              <w:rPr>
                <w:color w:val="auto"/>
                <w:kern w:val="0"/>
              </w:rPr>
              <w:t>1.2571</w:t>
            </w:r>
          </w:p>
        </w:tc>
      </w:tr>
      <w:tr w14:paraId="19B5EB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93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769777E">
            <w:pPr>
              <w:widowControl/>
              <w:spacing w:line="280" w:lineRule="exact"/>
              <w:rPr>
                <w:color w:val="auto"/>
                <w:kern w:val="0"/>
              </w:rPr>
            </w:pPr>
            <w:r>
              <w:rPr>
                <w:color w:val="auto"/>
                <w:kern w:val="0"/>
              </w:rPr>
              <w:t>乙烯焦油</w:t>
            </w:r>
          </w:p>
        </w:tc>
        <w:tc>
          <w:tcPr>
            <w:tcW w:w="2241" w:type="dxa"/>
            <w:tcBorders>
              <w:top w:val="single" w:color="auto" w:sz="4" w:space="0"/>
              <w:left w:val="single" w:color="auto" w:sz="4" w:space="0"/>
              <w:bottom w:val="single" w:color="auto" w:sz="4" w:space="0"/>
              <w:right w:val="single" w:color="auto" w:sz="4" w:space="0"/>
            </w:tcBorders>
            <w:shd w:val="clear" w:color="auto" w:fill="auto"/>
            <w:vAlign w:val="center"/>
          </w:tcPr>
          <w:p w14:paraId="241A1CD4">
            <w:pPr>
              <w:widowControl/>
              <w:spacing w:line="280" w:lineRule="exact"/>
              <w:jc w:val="center"/>
              <w:rPr>
                <w:color w:val="auto"/>
                <w:kern w:val="0"/>
              </w:rPr>
            </w:pPr>
            <w:r>
              <w:rPr>
                <w:color w:val="auto"/>
                <w:kern w:val="0"/>
              </w:rPr>
              <w:t>37681</w:t>
            </w:r>
          </w:p>
        </w:tc>
        <w:tc>
          <w:tcPr>
            <w:tcW w:w="3290" w:type="dxa"/>
            <w:tcBorders>
              <w:top w:val="single" w:color="auto" w:sz="4" w:space="0"/>
              <w:left w:val="single" w:color="auto" w:sz="4" w:space="0"/>
              <w:bottom w:val="single" w:color="auto" w:sz="4" w:space="0"/>
              <w:right w:val="single" w:color="auto" w:sz="4" w:space="0"/>
            </w:tcBorders>
            <w:shd w:val="clear" w:color="auto" w:fill="auto"/>
            <w:vAlign w:val="center"/>
          </w:tcPr>
          <w:p w14:paraId="18D0B4D4">
            <w:pPr>
              <w:widowControl/>
              <w:spacing w:line="280" w:lineRule="exact"/>
              <w:jc w:val="center"/>
              <w:rPr>
                <w:color w:val="auto"/>
                <w:kern w:val="0"/>
              </w:rPr>
            </w:pPr>
            <w:r>
              <w:rPr>
                <w:color w:val="auto"/>
                <w:kern w:val="0"/>
              </w:rPr>
              <w:t>1.2857</w:t>
            </w:r>
          </w:p>
        </w:tc>
      </w:tr>
      <w:tr w14:paraId="48FE93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93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787EE01">
            <w:pPr>
              <w:widowControl/>
              <w:spacing w:line="280" w:lineRule="exact"/>
              <w:rPr>
                <w:color w:val="auto"/>
                <w:kern w:val="0"/>
              </w:rPr>
            </w:pPr>
            <w:r>
              <w:rPr>
                <w:color w:val="auto"/>
                <w:kern w:val="0"/>
              </w:rPr>
              <w:t>液化石油气</w:t>
            </w:r>
          </w:p>
        </w:tc>
        <w:tc>
          <w:tcPr>
            <w:tcW w:w="2241" w:type="dxa"/>
            <w:tcBorders>
              <w:top w:val="single" w:color="auto" w:sz="4" w:space="0"/>
              <w:left w:val="single" w:color="auto" w:sz="4" w:space="0"/>
              <w:bottom w:val="single" w:color="auto" w:sz="4" w:space="0"/>
              <w:right w:val="single" w:color="auto" w:sz="4" w:space="0"/>
            </w:tcBorders>
            <w:shd w:val="clear" w:color="auto" w:fill="auto"/>
            <w:vAlign w:val="center"/>
          </w:tcPr>
          <w:p w14:paraId="24C26F63">
            <w:pPr>
              <w:widowControl/>
              <w:spacing w:line="280" w:lineRule="exact"/>
              <w:jc w:val="center"/>
              <w:rPr>
                <w:color w:val="auto"/>
                <w:kern w:val="0"/>
              </w:rPr>
            </w:pPr>
            <w:r>
              <w:rPr>
                <w:color w:val="auto"/>
                <w:kern w:val="0"/>
              </w:rPr>
              <w:t>50</w:t>
            </w:r>
            <w:r>
              <w:rPr>
                <w:rFonts w:hint="eastAsia"/>
                <w:color w:val="auto"/>
                <w:kern w:val="0"/>
              </w:rPr>
              <w:t>242</w:t>
            </w:r>
          </w:p>
        </w:tc>
        <w:tc>
          <w:tcPr>
            <w:tcW w:w="3290" w:type="dxa"/>
            <w:tcBorders>
              <w:top w:val="single" w:color="auto" w:sz="4" w:space="0"/>
              <w:left w:val="single" w:color="auto" w:sz="4" w:space="0"/>
              <w:bottom w:val="single" w:color="auto" w:sz="4" w:space="0"/>
              <w:right w:val="single" w:color="auto" w:sz="4" w:space="0"/>
            </w:tcBorders>
            <w:shd w:val="clear" w:color="auto" w:fill="auto"/>
            <w:vAlign w:val="center"/>
          </w:tcPr>
          <w:p w14:paraId="5237FD55">
            <w:pPr>
              <w:widowControl/>
              <w:spacing w:line="280" w:lineRule="exact"/>
              <w:jc w:val="center"/>
              <w:rPr>
                <w:color w:val="auto"/>
                <w:kern w:val="0"/>
              </w:rPr>
            </w:pPr>
            <w:r>
              <w:rPr>
                <w:color w:val="auto"/>
                <w:kern w:val="0"/>
              </w:rPr>
              <w:t>1.7143</w:t>
            </w:r>
          </w:p>
        </w:tc>
      </w:tr>
      <w:tr w14:paraId="2E20C1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93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97EA498">
            <w:pPr>
              <w:widowControl/>
              <w:spacing w:line="280" w:lineRule="exact"/>
              <w:rPr>
                <w:color w:val="auto"/>
                <w:kern w:val="0"/>
              </w:rPr>
            </w:pPr>
            <w:r>
              <w:rPr>
                <w:color w:val="auto"/>
                <w:kern w:val="0"/>
              </w:rPr>
              <w:t>炼厂干气</w:t>
            </w:r>
          </w:p>
        </w:tc>
        <w:tc>
          <w:tcPr>
            <w:tcW w:w="2241" w:type="dxa"/>
            <w:tcBorders>
              <w:top w:val="single" w:color="auto" w:sz="4" w:space="0"/>
              <w:left w:val="single" w:color="auto" w:sz="4" w:space="0"/>
              <w:bottom w:val="single" w:color="auto" w:sz="4" w:space="0"/>
              <w:right w:val="single" w:color="auto" w:sz="4" w:space="0"/>
            </w:tcBorders>
            <w:shd w:val="clear" w:color="auto" w:fill="auto"/>
            <w:vAlign w:val="center"/>
          </w:tcPr>
          <w:p w14:paraId="3A7D5AD3">
            <w:pPr>
              <w:widowControl/>
              <w:spacing w:line="280" w:lineRule="exact"/>
              <w:jc w:val="center"/>
              <w:rPr>
                <w:color w:val="auto"/>
                <w:kern w:val="0"/>
              </w:rPr>
            </w:pPr>
            <w:r>
              <w:rPr>
                <w:color w:val="auto"/>
                <w:kern w:val="0"/>
              </w:rPr>
              <w:t>46055</w:t>
            </w:r>
          </w:p>
        </w:tc>
        <w:tc>
          <w:tcPr>
            <w:tcW w:w="3290" w:type="dxa"/>
            <w:tcBorders>
              <w:top w:val="single" w:color="auto" w:sz="4" w:space="0"/>
              <w:left w:val="single" w:color="auto" w:sz="4" w:space="0"/>
              <w:bottom w:val="single" w:color="auto" w:sz="4" w:space="0"/>
              <w:right w:val="single" w:color="auto" w:sz="4" w:space="0"/>
            </w:tcBorders>
            <w:shd w:val="clear" w:color="auto" w:fill="auto"/>
            <w:vAlign w:val="center"/>
          </w:tcPr>
          <w:p w14:paraId="761210F0">
            <w:pPr>
              <w:widowControl/>
              <w:spacing w:line="280" w:lineRule="exact"/>
              <w:jc w:val="center"/>
              <w:rPr>
                <w:color w:val="auto"/>
                <w:kern w:val="0"/>
              </w:rPr>
            </w:pPr>
            <w:r>
              <w:rPr>
                <w:color w:val="auto"/>
                <w:kern w:val="0"/>
              </w:rPr>
              <w:t>1.5714</w:t>
            </w:r>
          </w:p>
        </w:tc>
      </w:tr>
      <w:tr w14:paraId="761B04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0" w:hRule="atLeast"/>
          <w:jc w:val="center"/>
        </w:trPr>
        <w:tc>
          <w:tcPr>
            <w:tcW w:w="293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9ADE32A">
            <w:pPr>
              <w:widowControl/>
              <w:spacing w:line="280" w:lineRule="exact"/>
              <w:rPr>
                <w:color w:val="auto"/>
                <w:kern w:val="0"/>
              </w:rPr>
            </w:pPr>
            <w:r>
              <w:rPr>
                <w:color w:val="auto"/>
                <w:kern w:val="0"/>
              </w:rPr>
              <w:t>粗苯</w:t>
            </w:r>
          </w:p>
        </w:tc>
        <w:tc>
          <w:tcPr>
            <w:tcW w:w="2241" w:type="dxa"/>
            <w:tcBorders>
              <w:top w:val="single" w:color="auto" w:sz="4" w:space="0"/>
              <w:left w:val="single" w:color="auto" w:sz="4" w:space="0"/>
              <w:bottom w:val="single" w:color="auto" w:sz="4" w:space="0"/>
              <w:right w:val="single" w:color="auto" w:sz="4" w:space="0"/>
            </w:tcBorders>
            <w:shd w:val="clear" w:color="auto" w:fill="auto"/>
            <w:vAlign w:val="center"/>
          </w:tcPr>
          <w:p w14:paraId="5EF08AC9">
            <w:pPr>
              <w:widowControl/>
              <w:spacing w:line="280" w:lineRule="exact"/>
              <w:jc w:val="center"/>
              <w:rPr>
                <w:color w:val="auto"/>
                <w:kern w:val="0"/>
              </w:rPr>
            </w:pPr>
            <w:r>
              <w:rPr>
                <w:color w:val="auto"/>
                <w:kern w:val="0"/>
              </w:rPr>
              <w:t>418</w:t>
            </w:r>
            <w:r>
              <w:rPr>
                <w:rFonts w:hint="eastAsia"/>
                <w:color w:val="auto"/>
                <w:kern w:val="0"/>
              </w:rPr>
              <w:t>68</w:t>
            </w:r>
          </w:p>
        </w:tc>
        <w:tc>
          <w:tcPr>
            <w:tcW w:w="3290" w:type="dxa"/>
            <w:tcBorders>
              <w:top w:val="single" w:color="auto" w:sz="4" w:space="0"/>
              <w:left w:val="single" w:color="auto" w:sz="4" w:space="0"/>
              <w:bottom w:val="single" w:color="auto" w:sz="4" w:space="0"/>
              <w:right w:val="single" w:color="auto" w:sz="4" w:space="0"/>
            </w:tcBorders>
            <w:shd w:val="clear" w:color="auto" w:fill="auto"/>
            <w:vAlign w:val="center"/>
          </w:tcPr>
          <w:p w14:paraId="4D093AA1">
            <w:pPr>
              <w:widowControl/>
              <w:spacing w:line="280" w:lineRule="exact"/>
              <w:jc w:val="center"/>
              <w:rPr>
                <w:color w:val="auto"/>
                <w:kern w:val="0"/>
              </w:rPr>
            </w:pPr>
            <w:r>
              <w:rPr>
                <w:color w:val="auto"/>
                <w:kern w:val="0"/>
              </w:rPr>
              <w:t>1.4286</w:t>
            </w:r>
          </w:p>
        </w:tc>
      </w:tr>
      <w:tr w14:paraId="7D9084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461"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397FF96C">
            <w:pPr>
              <w:widowControl/>
              <w:spacing w:line="300" w:lineRule="exact"/>
              <w:jc w:val="center"/>
              <w:rPr>
                <w:color w:val="auto"/>
                <w:kern w:val="0"/>
              </w:rPr>
            </w:pPr>
            <w:r>
              <w:rPr>
                <w:rFonts w:eastAsia="黑体"/>
                <w:bCs/>
                <w:color w:val="auto"/>
                <w:kern w:val="0"/>
                <w:sz w:val="18"/>
                <w:szCs w:val="18"/>
              </w:rPr>
              <w:t>注：配制油一般是指蒽油与软沥青等碳氢化合物按一定比例调配而成的、可用于生产炭黑的一种油品。</w:t>
            </w:r>
          </w:p>
        </w:tc>
      </w:tr>
    </w:tbl>
    <w:p w14:paraId="2C2D25F9">
      <w:pPr>
        <w:pStyle w:val="40"/>
        <w:snapToGrid w:val="0"/>
        <w:spacing w:before="220" w:after="220"/>
        <w:outlineLvl w:val="9"/>
        <w:rPr>
          <w:color w:val="auto"/>
        </w:rPr>
      </w:pPr>
      <w:bookmarkStart w:id="83" w:name="_Toc168053923"/>
      <w:bookmarkStart w:id="84" w:name="_Toc167983293"/>
      <w:bookmarkStart w:id="85" w:name="_Toc167982633"/>
      <w:r>
        <w:rPr>
          <w:color w:val="auto"/>
        </w:rPr>
        <w:t>表</w:t>
      </w:r>
      <w:r>
        <w:rPr>
          <w:rFonts w:hint="eastAsia"/>
          <w:color w:val="auto"/>
        </w:rPr>
        <w:t>B</w:t>
      </w:r>
      <w:r>
        <w:rPr>
          <w:color w:val="auto"/>
        </w:rPr>
        <w:t>.2 气态能源</w:t>
      </w:r>
      <w:bookmarkEnd w:id="83"/>
      <w:bookmarkEnd w:id="84"/>
      <w:bookmarkEnd w:id="85"/>
    </w:p>
    <w:tbl>
      <w:tblPr>
        <w:tblStyle w:val="1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467"/>
        <w:gridCol w:w="2464"/>
        <w:gridCol w:w="2240"/>
        <w:gridCol w:w="3281"/>
      </w:tblGrid>
      <w:tr w14:paraId="6D620E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0" w:hRule="atLeast"/>
          <w:jc w:val="center"/>
        </w:trPr>
        <w:tc>
          <w:tcPr>
            <w:tcW w:w="293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B167BD3">
            <w:pPr>
              <w:widowControl/>
              <w:spacing w:line="280" w:lineRule="exact"/>
              <w:jc w:val="center"/>
              <w:rPr>
                <w:color w:val="auto"/>
                <w:kern w:val="0"/>
              </w:rPr>
            </w:pPr>
            <w:r>
              <w:rPr>
                <w:color w:val="auto"/>
                <w:kern w:val="0"/>
              </w:rPr>
              <w:t>能源名称，</w:t>
            </w:r>
            <w:r>
              <w:rPr>
                <w:bCs/>
                <w:color w:val="auto"/>
                <w:kern w:val="0"/>
              </w:rPr>
              <w:t>1</w:t>
            </w:r>
            <w:r>
              <w:rPr>
                <w:color w:val="auto"/>
                <w:kern w:val="0"/>
                <w:sz w:val="18"/>
              </w:rPr>
              <w:t xml:space="preserve"> m</w:t>
            </w:r>
            <w:r>
              <w:rPr>
                <w:color w:val="auto"/>
                <w:kern w:val="0"/>
                <w:sz w:val="18"/>
                <w:vertAlign w:val="superscript"/>
              </w:rPr>
              <w:t>3</w:t>
            </w:r>
          </w:p>
        </w:tc>
        <w:tc>
          <w:tcPr>
            <w:tcW w:w="2240" w:type="dxa"/>
            <w:tcBorders>
              <w:top w:val="single" w:color="auto" w:sz="4" w:space="0"/>
              <w:left w:val="single" w:color="auto" w:sz="4" w:space="0"/>
              <w:bottom w:val="single" w:color="auto" w:sz="4" w:space="0"/>
              <w:right w:val="single" w:color="auto" w:sz="4" w:space="0"/>
            </w:tcBorders>
            <w:shd w:val="clear" w:color="auto" w:fill="auto"/>
            <w:vAlign w:val="center"/>
          </w:tcPr>
          <w:p w14:paraId="08993A9A">
            <w:pPr>
              <w:widowControl/>
              <w:spacing w:line="280" w:lineRule="exact"/>
              <w:jc w:val="center"/>
              <w:rPr>
                <w:color w:val="auto"/>
                <w:kern w:val="0"/>
              </w:rPr>
            </w:pPr>
            <w:r>
              <w:rPr>
                <w:color w:val="auto"/>
                <w:kern w:val="0"/>
              </w:rPr>
              <w:t>平均低位发热量，kJ</w:t>
            </w:r>
          </w:p>
        </w:tc>
        <w:tc>
          <w:tcPr>
            <w:tcW w:w="3281" w:type="dxa"/>
            <w:tcBorders>
              <w:top w:val="single" w:color="auto" w:sz="4" w:space="0"/>
              <w:left w:val="single" w:color="auto" w:sz="4" w:space="0"/>
              <w:bottom w:val="single" w:color="auto" w:sz="4" w:space="0"/>
              <w:right w:val="single" w:color="auto" w:sz="4" w:space="0"/>
            </w:tcBorders>
            <w:shd w:val="clear" w:color="auto" w:fill="auto"/>
            <w:vAlign w:val="center"/>
          </w:tcPr>
          <w:p w14:paraId="7969DD77">
            <w:pPr>
              <w:widowControl/>
              <w:spacing w:line="280" w:lineRule="exact"/>
              <w:jc w:val="center"/>
              <w:rPr>
                <w:color w:val="auto"/>
                <w:kern w:val="0"/>
              </w:rPr>
            </w:pPr>
            <w:r>
              <w:rPr>
                <w:color w:val="auto"/>
                <w:kern w:val="0"/>
              </w:rPr>
              <w:t>折标准煤系数，kgce</w:t>
            </w:r>
          </w:p>
        </w:tc>
      </w:tr>
      <w:tr w14:paraId="4FFB80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0" w:hRule="atLeast"/>
          <w:jc w:val="center"/>
        </w:trPr>
        <w:tc>
          <w:tcPr>
            <w:tcW w:w="293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699DC57">
            <w:pPr>
              <w:widowControl/>
              <w:spacing w:line="280" w:lineRule="exact"/>
              <w:rPr>
                <w:color w:val="auto"/>
                <w:kern w:val="0"/>
              </w:rPr>
            </w:pPr>
            <w:r>
              <w:rPr>
                <w:color w:val="auto"/>
                <w:kern w:val="0"/>
              </w:rPr>
              <w:t>气田天然气</w:t>
            </w:r>
          </w:p>
        </w:tc>
        <w:tc>
          <w:tcPr>
            <w:tcW w:w="2240" w:type="dxa"/>
            <w:tcBorders>
              <w:top w:val="single" w:color="auto" w:sz="4" w:space="0"/>
              <w:left w:val="single" w:color="auto" w:sz="4" w:space="0"/>
              <w:bottom w:val="single" w:color="auto" w:sz="4" w:space="0"/>
              <w:right w:val="single" w:color="auto" w:sz="4" w:space="0"/>
            </w:tcBorders>
            <w:shd w:val="clear" w:color="auto" w:fill="auto"/>
            <w:vAlign w:val="center"/>
          </w:tcPr>
          <w:p w14:paraId="57A6A87B">
            <w:pPr>
              <w:widowControl/>
              <w:spacing w:line="280" w:lineRule="exact"/>
              <w:jc w:val="center"/>
              <w:rPr>
                <w:color w:val="auto"/>
                <w:kern w:val="0"/>
              </w:rPr>
            </w:pPr>
            <w:r>
              <w:rPr>
                <w:color w:val="auto"/>
                <w:kern w:val="0"/>
              </w:rPr>
              <w:t>35544</w:t>
            </w:r>
          </w:p>
        </w:tc>
        <w:tc>
          <w:tcPr>
            <w:tcW w:w="3281" w:type="dxa"/>
            <w:tcBorders>
              <w:top w:val="single" w:color="auto" w:sz="4" w:space="0"/>
              <w:left w:val="single" w:color="auto" w:sz="4" w:space="0"/>
              <w:bottom w:val="single" w:color="auto" w:sz="4" w:space="0"/>
              <w:right w:val="single" w:color="auto" w:sz="4" w:space="0"/>
            </w:tcBorders>
            <w:shd w:val="clear" w:color="auto" w:fill="auto"/>
            <w:vAlign w:val="center"/>
          </w:tcPr>
          <w:p w14:paraId="2F9A5D56">
            <w:pPr>
              <w:widowControl/>
              <w:spacing w:line="280" w:lineRule="exact"/>
              <w:jc w:val="center"/>
              <w:rPr>
                <w:color w:val="auto"/>
                <w:kern w:val="0"/>
              </w:rPr>
            </w:pPr>
            <w:r>
              <w:rPr>
                <w:color w:val="auto"/>
                <w:kern w:val="0"/>
              </w:rPr>
              <w:t>1.2143</w:t>
            </w:r>
          </w:p>
        </w:tc>
      </w:tr>
      <w:tr w14:paraId="78C10E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0" w:hRule="atLeast"/>
          <w:jc w:val="center"/>
        </w:trPr>
        <w:tc>
          <w:tcPr>
            <w:tcW w:w="293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61289A2">
            <w:pPr>
              <w:widowControl/>
              <w:spacing w:line="280" w:lineRule="exact"/>
              <w:rPr>
                <w:color w:val="auto"/>
                <w:kern w:val="0"/>
              </w:rPr>
            </w:pPr>
            <w:r>
              <w:rPr>
                <w:color w:val="auto"/>
                <w:kern w:val="0"/>
              </w:rPr>
              <w:t>焦炉煤气</w:t>
            </w:r>
          </w:p>
        </w:tc>
        <w:tc>
          <w:tcPr>
            <w:tcW w:w="2240" w:type="dxa"/>
            <w:tcBorders>
              <w:top w:val="single" w:color="auto" w:sz="4" w:space="0"/>
              <w:left w:val="single" w:color="auto" w:sz="4" w:space="0"/>
              <w:bottom w:val="single" w:color="auto" w:sz="4" w:space="0"/>
              <w:right w:val="single" w:color="auto" w:sz="4" w:space="0"/>
            </w:tcBorders>
            <w:shd w:val="clear" w:color="auto" w:fill="auto"/>
            <w:vAlign w:val="center"/>
          </w:tcPr>
          <w:p w14:paraId="4036F474">
            <w:pPr>
              <w:widowControl/>
              <w:spacing w:line="280" w:lineRule="exact"/>
              <w:jc w:val="center"/>
              <w:rPr>
                <w:color w:val="auto"/>
                <w:kern w:val="0"/>
              </w:rPr>
            </w:pPr>
            <w:r>
              <w:rPr>
                <w:color w:val="auto"/>
                <w:kern w:val="0"/>
              </w:rPr>
              <w:t>167</w:t>
            </w:r>
            <w:r>
              <w:rPr>
                <w:rFonts w:hint="eastAsia"/>
                <w:color w:val="auto"/>
                <w:kern w:val="0"/>
              </w:rPr>
              <w:t>47</w:t>
            </w:r>
            <w:r>
              <w:rPr>
                <w:color w:val="auto"/>
                <w:kern w:val="0"/>
              </w:rPr>
              <w:t>～1</w:t>
            </w:r>
            <w:r>
              <w:rPr>
                <w:rFonts w:hint="eastAsia"/>
                <w:color w:val="auto"/>
                <w:kern w:val="0"/>
              </w:rPr>
              <w:t>8003</w:t>
            </w:r>
          </w:p>
        </w:tc>
        <w:tc>
          <w:tcPr>
            <w:tcW w:w="3281" w:type="dxa"/>
            <w:tcBorders>
              <w:top w:val="single" w:color="auto" w:sz="4" w:space="0"/>
              <w:left w:val="single" w:color="auto" w:sz="4" w:space="0"/>
              <w:bottom w:val="single" w:color="auto" w:sz="4" w:space="0"/>
              <w:right w:val="single" w:color="auto" w:sz="4" w:space="0"/>
            </w:tcBorders>
            <w:shd w:val="clear" w:color="auto" w:fill="auto"/>
            <w:vAlign w:val="center"/>
          </w:tcPr>
          <w:p w14:paraId="174CCF80">
            <w:pPr>
              <w:widowControl/>
              <w:spacing w:line="280" w:lineRule="exact"/>
              <w:jc w:val="center"/>
              <w:rPr>
                <w:color w:val="auto"/>
                <w:kern w:val="0"/>
              </w:rPr>
            </w:pPr>
            <w:r>
              <w:rPr>
                <w:color w:val="auto"/>
                <w:kern w:val="0"/>
              </w:rPr>
              <w:t>0.5714～0.6143</w:t>
            </w:r>
          </w:p>
        </w:tc>
      </w:tr>
      <w:tr w14:paraId="12028E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0" w:hRule="atLeast"/>
          <w:jc w:val="center"/>
        </w:trPr>
        <w:tc>
          <w:tcPr>
            <w:tcW w:w="293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14EB801">
            <w:pPr>
              <w:widowControl/>
              <w:spacing w:line="280" w:lineRule="exact"/>
              <w:rPr>
                <w:color w:val="auto"/>
                <w:kern w:val="0"/>
              </w:rPr>
            </w:pPr>
            <w:r>
              <w:rPr>
                <w:color w:val="auto"/>
                <w:kern w:val="0"/>
              </w:rPr>
              <w:t>高炉煤气</w:t>
            </w:r>
          </w:p>
        </w:tc>
        <w:tc>
          <w:tcPr>
            <w:tcW w:w="2240" w:type="dxa"/>
            <w:tcBorders>
              <w:top w:val="single" w:color="auto" w:sz="4" w:space="0"/>
              <w:left w:val="single" w:color="auto" w:sz="4" w:space="0"/>
              <w:bottom w:val="single" w:color="auto" w:sz="4" w:space="0"/>
              <w:right w:val="single" w:color="auto" w:sz="4" w:space="0"/>
            </w:tcBorders>
            <w:shd w:val="clear" w:color="auto" w:fill="auto"/>
            <w:vAlign w:val="center"/>
          </w:tcPr>
          <w:p w14:paraId="63F5C6F8">
            <w:pPr>
              <w:widowControl/>
              <w:spacing w:line="280" w:lineRule="exact"/>
              <w:jc w:val="center"/>
              <w:rPr>
                <w:color w:val="auto"/>
                <w:kern w:val="0"/>
              </w:rPr>
            </w:pPr>
            <w:r>
              <w:rPr>
                <w:color w:val="auto"/>
                <w:kern w:val="0"/>
              </w:rPr>
              <w:t>376</w:t>
            </w:r>
            <w:r>
              <w:rPr>
                <w:rFonts w:hint="eastAsia"/>
                <w:color w:val="auto"/>
                <w:kern w:val="0"/>
              </w:rPr>
              <w:t>8</w:t>
            </w:r>
          </w:p>
        </w:tc>
        <w:tc>
          <w:tcPr>
            <w:tcW w:w="3281" w:type="dxa"/>
            <w:tcBorders>
              <w:top w:val="single" w:color="auto" w:sz="4" w:space="0"/>
              <w:left w:val="single" w:color="auto" w:sz="4" w:space="0"/>
              <w:bottom w:val="single" w:color="auto" w:sz="4" w:space="0"/>
              <w:right w:val="single" w:color="auto" w:sz="4" w:space="0"/>
            </w:tcBorders>
            <w:shd w:val="clear" w:color="auto" w:fill="auto"/>
            <w:vAlign w:val="center"/>
          </w:tcPr>
          <w:p w14:paraId="66DEF24E">
            <w:pPr>
              <w:widowControl/>
              <w:spacing w:line="280" w:lineRule="exact"/>
              <w:jc w:val="center"/>
              <w:rPr>
                <w:color w:val="auto"/>
                <w:kern w:val="0"/>
              </w:rPr>
            </w:pPr>
            <w:r>
              <w:rPr>
                <w:color w:val="auto"/>
                <w:kern w:val="0"/>
              </w:rPr>
              <w:t>0.1286</w:t>
            </w:r>
          </w:p>
        </w:tc>
      </w:tr>
      <w:tr w14:paraId="68BD99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0" w:hRule="atLeast"/>
          <w:jc w:val="center"/>
        </w:trPr>
        <w:tc>
          <w:tcPr>
            <w:tcW w:w="46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72F05FC">
            <w:pPr>
              <w:widowControl/>
              <w:spacing w:line="280" w:lineRule="exact"/>
              <w:rPr>
                <w:color w:val="auto"/>
                <w:kern w:val="0"/>
              </w:rPr>
            </w:pPr>
            <w:r>
              <w:rPr>
                <w:color w:val="auto"/>
                <w:kern w:val="0"/>
              </w:rPr>
              <w:t>其他煤气</w:t>
            </w:r>
          </w:p>
        </w:tc>
        <w:tc>
          <w:tcPr>
            <w:tcW w:w="2464" w:type="dxa"/>
            <w:tcBorders>
              <w:top w:val="single" w:color="auto" w:sz="4" w:space="0"/>
              <w:left w:val="single" w:color="auto" w:sz="4" w:space="0"/>
              <w:bottom w:val="single" w:color="auto" w:sz="4" w:space="0"/>
              <w:right w:val="single" w:color="auto" w:sz="4" w:space="0"/>
            </w:tcBorders>
            <w:shd w:val="clear" w:color="auto" w:fill="auto"/>
            <w:vAlign w:val="center"/>
          </w:tcPr>
          <w:p w14:paraId="32053E48">
            <w:pPr>
              <w:widowControl/>
              <w:spacing w:line="280" w:lineRule="exact"/>
              <w:rPr>
                <w:color w:val="auto"/>
                <w:kern w:val="0"/>
              </w:rPr>
            </w:pPr>
            <w:r>
              <w:rPr>
                <w:color w:val="auto"/>
                <w:kern w:val="0"/>
              </w:rPr>
              <w:t>a)发生炉煤气</w:t>
            </w:r>
          </w:p>
        </w:tc>
        <w:tc>
          <w:tcPr>
            <w:tcW w:w="2240" w:type="dxa"/>
            <w:tcBorders>
              <w:top w:val="single" w:color="auto" w:sz="4" w:space="0"/>
              <w:left w:val="single" w:color="auto" w:sz="4" w:space="0"/>
              <w:bottom w:val="single" w:color="auto" w:sz="4" w:space="0"/>
              <w:right w:val="single" w:color="auto" w:sz="4" w:space="0"/>
            </w:tcBorders>
            <w:shd w:val="clear" w:color="auto" w:fill="auto"/>
            <w:vAlign w:val="center"/>
          </w:tcPr>
          <w:p w14:paraId="0E3330AB">
            <w:pPr>
              <w:widowControl/>
              <w:spacing w:line="280" w:lineRule="exact"/>
              <w:jc w:val="center"/>
              <w:rPr>
                <w:color w:val="auto"/>
                <w:kern w:val="0"/>
              </w:rPr>
            </w:pPr>
            <w:r>
              <w:rPr>
                <w:color w:val="auto"/>
                <w:kern w:val="0"/>
              </w:rPr>
              <w:t>52</w:t>
            </w:r>
            <w:r>
              <w:rPr>
                <w:rFonts w:hint="eastAsia"/>
                <w:color w:val="auto"/>
                <w:kern w:val="0"/>
              </w:rPr>
              <w:t>34</w:t>
            </w:r>
          </w:p>
        </w:tc>
        <w:tc>
          <w:tcPr>
            <w:tcW w:w="3281" w:type="dxa"/>
            <w:tcBorders>
              <w:top w:val="single" w:color="auto" w:sz="4" w:space="0"/>
              <w:left w:val="single" w:color="auto" w:sz="4" w:space="0"/>
              <w:bottom w:val="single" w:color="auto" w:sz="4" w:space="0"/>
              <w:right w:val="single" w:color="auto" w:sz="4" w:space="0"/>
            </w:tcBorders>
            <w:shd w:val="clear" w:color="auto" w:fill="auto"/>
            <w:vAlign w:val="center"/>
          </w:tcPr>
          <w:p w14:paraId="5CDEC1CC">
            <w:pPr>
              <w:widowControl/>
              <w:spacing w:line="280" w:lineRule="exact"/>
              <w:jc w:val="center"/>
              <w:rPr>
                <w:color w:val="auto"/>
                <w:kern w:val="0"/>
              </w:rPr>
            </w:pPr>
            <w:r>
              <w:rPr>
                <w:color w:val="auto"/>
                <w:kern w:val="0"/>
              </w:rPr>
              <w:t>0.1786</w:t>
            </w:r>
          </w:p>
        </w:tc>
      </w:tr>
      <w:tr w14:paraId="3D0B6E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0"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CB127A0">
            <w:pPr>
              <w:widowControl/>
              <w:spacing w:line="280" w:lineRule="exact"/>
              <w:rPr>
                <w:color w:val="auto"/>
                <w:kern w:val="0"/>
              </w:rPr>
            </w:pPr>
          </w:p>
        </w:tc>
        <w:tc>
          <w:tcPr>
            <w:tcW w:w="2464" w:type="dxa"/>
            <w:tcBorders>
              <w:top w:val="single" w:color="auto" w:sz="4" w:space="0"/>
              <w:left w:val="single" w:color="auto" w:sz="4" w:space="0"/>
              <w:bottom w:val="single" w:color="auto" w:sz="4" w:space="0"/>
              <w:right w:val="single" w:color="auto" w:sz="4" w:space="0"/>
            </w:tcBorders>
            <w:shd w:val="clear" w:color="auto" w:fill="auto"/>
            <w:vAlign w:val="center"/>
          </w:tcPr>
          <w:p w14:paraId="434A10B9">
            <w:pPr>
              <w:widowControl/>
              <w:spacing w:line="280" w:lineRule="exact"/>
              <w:rPr>
                <w:color w:val="auto"/>
                <w:kern w:val="0"/>
              </w:rPr>
            </w:pPr>
            <w:r>
              <w:rPr>
                <w:color w:val="auto"/>
                <w:kern w:val="0"/>
              </w:rPr>
              <w:t>b)重油催化裂解煤气</w:t>
            </w:r>
          </w:p>
        </w:tc>
        <w:tc>
          <w:tcPr>
            <w:tcW w:w="2240" w:type="dxa"/>
            <w:tcBorders>
              <w:top w:val="single" w:color="auto" w:sz="4" w:space="0"/>
              <w:left w:val="single" w:color="auto" w:sz="4" w:space="0"/>
              <w:bottom w:val="single" w:color="auto" w:sz="4" w:space="0"/>
              <w:right w:val="single" w:color="auto" w:sz="4" w:space="0"/>
            </w:tcBorders>
            <w:shd w:val="clear" w:color="auto" w:fill="auto"/>
            <w:vAlign w:val="center"/>
          </w:tcPr>
          <w:p w14:paraId="0B705CC1">
            <w:pPr>
              <w:widowControl/>
              <w:spacing w:line="280" w:lineRule="exact"/>
              <w:jc w:val="center"/>
              <w:rPr>
                <w:color w:val="auto"/>
                <w:kern w:val="0"/>
              </w:rPr>
            </w:pPr>
            <w:r>
              <w:rPr>
                <w:color w:val="auto"/>
                <w:kern w:val="0"/>
              </w:rPr>
              <w:t>192</w:t>
            </w:r>
            <w:r>
              <w:rPr>
                <w:rFonts w:hint="eastAsia"/>
                <w:color w:val="auto"/>
                <w:kern w:val="0"/>
              </w:rPr>
              <w:t>59</w:t>
            </w:r>
          </w:p>
        </w:tc>
        <w:tc>
          <w:tcPr>
            <w:tcW w:w="3281" w:type="dxa"/>
            <w:tcBorders>
              <w:top w:val="single" w:color="auto" w:sz="4" w:space="0"/>
              <w:left w:val="single" w:color="auto" w:sz="4" w:space="0"/>
              <w:bottom w:val="single" w:color="auto" w:sz="4" w:space="0"/>
              <w:right w:val="single" w:color="auto" w:sz="4" w:space="0"/>
            </w:tcBorders>
            <w:shd w:val="clear" w:color="auto" w:fill="auto"/>
            <w:vAlign w:val="center"/>
          </w:tcPr>
          <w:p w14:paraId="70A31FE4">
            <w:pPr>
              <w:widowControl/>
              <w:spacing w:line="280" w:lineRule="exact"/>
              <w:jc w:val="center"/>
              <w:rPr>
                <w:color w:val="auto"/>
                <w:kern w:val="0"/>
              </w:rPr>
            </w:pPr>
            <w:r>
              <w:rPr>
                <w:color w:val="auto"/>
                <w:kern w:val="0"/>
              </w:rPr>
              <w:t>0.6571</w:t>
            </w:r>
          </w:p>
        </w:tc>
      </w:tr>
      <w:tr w14:paraId="50351B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0"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A9A39E0">
            <w:pPr>
              <w:widowControl/>
              <w:spacing w:line="280" w:lineRule="exact"/>
              <w:rPr>
                <w:color w:val="auto"/>
                <w:kern w:val="0"/>
              </w:rPr>
            </w:pPr>
          </w:p>
        </w:tc>
        <w:tc>
          <w:tcPr>
            <w:tcW w:w="2464" w:type="dxa"/>
            <w:tcBorders>
              <w:top w:val="single" w:color="auto" w:sz="4" w:space="0"/>
              <w:left w:val="single" w:color="auto" w:sz="4" w:space="0"/>
              <w:bottom w:val="single" w:color="auto" w:sz="4" w:space="0"/>
              <w:right w:val="single" w:color="auto" w:sz="4" w:space="0"/>
            </w:tcBorders>
            <w:shd w:val="clear" w:color="auto" w:fill="auto"/>
            <w:vAlign w:val="center"/>
          </w:tcPr>
          <w:p w14:paraId="09AB3460">
            <w:pPr>
              <w:widowControl/>
              <w:spacing w:line="280" w:lineRule="exact"/>
              <w:rPr>
                <w:color w:val="auto"/>
                <w:kern w:val="0"/>
              </w:rPr>
            </w:pPr>
            <w:r>
              <w:rPr>
                <w:color w:val="auto"/>
                <w:kern w:val="0"/>
              </w:rPr>
              <w:t>c)重油热裂解煤气</w:t>
            </w:r>
          </w:p>
        </w:tc>
        <w:tc>
          <w:tcPr>
            <w:tcW w:w="2240" w:type="dxa"/>
            <w:tcBorders>
              <w:top w:val="single" w:color="auto" w:sz="4" w:space="0"/>
              <w:left w:val="single" w:color="auto" w:sz="4" w:space="0"/>
              <w:bottom w:val="single" w:color="auto" w:sz="4" w:space="0"/>
              <w:right w:val="single" w:color="auto" w:sz="4" w:space="0"/>
            </w:tcBorders>
            <w:shd w:val="clear" w:color="auto" w:fill="auto"/>
            <w:vAlign w:val="center"/>
          </w:tcPr>
          <w:p w14:paraId="0804ECDE">
            <w:pPr>
              <w:widowControl/>
              <w:spacing w:line="280" w:lineRule="exact"/>
              <w:jc w:val="center"/>
              <w:rPr>
                <w:color w:val="auto"/>
                <w:kern w:val="0"/>
              </w:rPr>
            </w:pPr>
            <w:r>
              <w:rPr>
                <w:color w:val="auto"/>
                <w:kern w:val="0"/>
              </w:rPr>
              <w:t>355</w:t>
            </w:r>
            <w:r>
              <w:rPr>
                <w:rFonts w:hint="eastAsia"/>
                <w:color w:val="auto"/>
                <w:kern w:val="0"/>
              </w:rPr>
              <w:t>88</w:t>
            </w:r>
          </w:p>
        </w:tc>
        <w:tc>
          <w:tcPr>
            <w:tcW w:w="3281" w:type="dxa"/>
            <w:tcBorders>
              <w:top w:val="single" w:color="auto" w:sz="4" w:space="0"/>
              <w:left w:val="single" w:color="auto" w:sz="4" w:space="0"/>
              <w:bottom w:val="single" w:color="auto" w:sz="4" w:space="0"/>
              <w:right w:val="single" w:color="auto" w:sz="4" w:space="0"/>
            </w:tcBorders>
            <w:shd w:val="clear" w:color="auto" w:fill="auto"/>
            <w:vAlign w:val="center"/>
          </w:tcPr>
          <w:p w14:paraId="3FFFB7A5">
            <w:pPr>
              <w:widowControl/>
              <w:spacing w:line="280" w:lineRule="exact"/>
              <w:jc w:val="center"/>
              <w:rPr>
                <w:color w:val="auto"/>
                <w:kern w:val="0"/>
              </w:rPr>
            </w:pPr>
            <w:r>
              <w:rPr>
                <w:color w:val="auto"/>
                <w:kern w:val="0"/>
              </w:rPr>
              <w:t>1.2143</w:t>
            </w:r>
          </w:p>
        </w:tc>
      </w:tr>
      <w:tr w14:paraId="5B9AA6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0"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0620ADD">
            <w:pPr>
              <w:widowControl/>
              <w:spacing w:line="280" w:lineRule="exact"/>
              <w:rPr>
                <w:color w:val="auto"/>
                <w:kern w:val="0"/>
              </w:rPr>
            </w:pPr>
          </w:p>
        </w:tc>
        <w:tc>
          <w:tcPr>
            <w:tcW w:w="2464" w:type="dxa"/>
            <w:tcBorders>
              <w:top w:val="single" w:color="auto" w:sz="4" w:space="0"/>
              <w:left w:val="single" w:color="auto" w:sz="4" w:space="0"/>
              <w:bottom w:val="single" w:color="auto" w:sz="4" w:space="0"/>
              <w:right w:val="single" w:color="auto" w:sz="4" w:space="0"/>
            </w:tcBorders>
            <w:shd w:val="clear" w:color="auto" w:fill="auto"/>
            <w:vAlign w:val="center"/>
          </w:tcPr>
          <w:p w14:paraId="6C4779C1">
            <w:pPr>
              <w:widowControl/>
              <w:spacing w:line="280" w:lineRule="exact"/>
              <w:rPr>
                <w:color w:val="auto"/>
                <w:kern w:val="0"/>
              </w:rPr>
            </w:pPr>
            <w:r>
              <w:rPr>
                <w:color w:val="auto"/>
                <w:kern w:val="0"/>
              </w:rPr>
              <w:t>d)焦炭制气</w:t>
            </w:r>
          </w:p>
        </w:tc>
        <w:tc>
          <w:tcPr>
            <w:tcW w:w="2240" w:type="dxa"/>
            <w:tcBorders>
              <w:top w:val="single" w:color="auto" w:sz="4" w:space="0"/>
              <w:left w:val="single" w:color="auto" w:sz="4" w:space="0"/>
              <w:bottom w:val="single" w:color="auto" w:sz="4" w:space="0"/>
              <w:right w:val="single" w:color="auto" w:sz="4" w:space="0"/>
            </w:tcBorders>
            <w:shd w:val="clear" w:color="auto" w:fill="auto"/>
            <w:vAlign w:val="center"/>
          </w:tcPr>
          <w:p w14:paraId="0D16C72B">
            <w:pPr>
              <w:widowControl/>
              <w:spacing w:line="280" w:lineRule="exact"/>
              <w:jc w:val="center"/>
              <w:rPr>
                <w:color w:val="auto"/>
                <w:kern w:val="0"/>
              </w:rPr>
            </w:pPr>
            <w:r>
              <w:rPr>
                <w:color w:val="auto"/>
                <w:kern w:val="0"/>
              </w:rPr>
              <w:t>163</w:t>
            </w:r>
            <w:r>
              <w:rPr>
                <w:rFonts w:hint="eastAsia"/>
                <w:color w:val="auto"/>
                <w:kern w:val="0"/>
              </w:rPr>
              <w:t>29</w:t>
            </w:r>
          </w:p>
        </w:tc>
        <w:tc>
          <w:tcPr>
            <w:tcW w:w="3281" w:type="dxa"/>
            <w:tcBorders>
              <w:top w:val="single" w:color="auto" w:sz="4" w:space="0"/>
              <w:left w:val="single" w:color="auto" w:sz="4" w:space="0"/>
              <w:bottom w:val="single" w:color="auto" w:sz="4" w:space="0"/>
              <w:right w:val="single" w:color="auto" w:sz="4" w:space="0"/>
            </w:tcBorders>
            <w:shd w:val="clear" w:color="auto" w:fill="auto"/>
            <w:vAlign w:val="center"/>
          </w:tcPr>
          <w:p w14:paraId="3DE37F62">
            <w:pPr>
              <w:widowControl/>
              <w:spacing w:line="280" w:lineRule="exact"/>
              <w:jc w:val="center"/>
              <w:rPr>
                <w:color w:val="auto"/>
                <w:kern w:val="0"/>
              </w:rPr>
            </w:pPr>
            <w:r>
              <w:rPr>
                <w:color w:val="auto"/>
                <w:kern w:val="0"/>
              </w:rPr>
              <w:t>0.5571</w:t>
            </w:r>
          </w:p>
        </w:tc>
      </w:tr>
      <w:tr w14:paraId="3FA64A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0"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6ED6732">
            <w:pPr>
              <w:widowControl/>
              <w:spacing w:line="280" w:lineRule="exact"/>
              <w:rPr>
                <w:color w:val="auto"/>
                <w:kern w:val="0"/>
              </w:rPr>
            </w:pPr>
          </w:p>
        </w:tc>
        <w:tc>
          <w:tcPr>
            <w:tcW w:w="2464" w:type="dxa"/>
            <w:tcBorders>
              <w:top w:val="single" w:color="auto" w:sz="4" w:space="0"/>
              <w:left w:val="single" w:color="auto" w:sz="4" w:space="0"/>
              <w:bottom w:val="single" w:color="auto" w:sz="4" w:space="0"/>
              <w:right w:val="single" w:color="auto" w:sz="4" w:space="0"/>
            </w:tcBorders>
            <w:shd w:val="clear" w:color="auto" w:fill="auto"/>
            <w:vAlign w:val="center"/>
          </w:tcPr>
          <w:p w14:paraId="6C9CDD73">
            <w:pPr>
              <w:widowControl/>
              <w:spacing w:line="280" w:lineRule="exact"/>
              <w:rPr>
                <w:color w:val="auto"/>
                <w:kern w:val="0"/>
              </w:rPr>
            </w:pPr>
            <w:r>
              <w:rPr>
                <w:color w:val="auto"/>
                <w:kern w:val="0"/>
              </w:rPr>
              <w:t>e)压力气化煤气</w:t>
            </w:r>
          </w:p>
        </w:tc>
        <w:tc>
          <w:tcPr>
            <w:tcW w:w="2240" w:type="dxa"/>
            <w:tcBorders>
              <w:top w:val="single" w:color="auto" w:sz="4" w:space="0"/>
              <w:left w:val="single" w:color="auto" w:sz="4" w:space="0"/>
              <w:bottom w:val="single" w:color="auto" w:sz="4" w:space="0"/>
              <w:right w:val="single" w:color="auto" w:sz="4" w:space="0"/>
            </w:tcBorders>
            <w:shd w:val="clear" w:color="auto" w:fill="auto"/>
            <w:vAlign w:val="center"/>
          </w:tcPr>
          <w:p w14:paraId="58E88162">
            <w:pPr>
              <w:widowControl/>
              <w:spacing w:line="280" w:lineRule="exact"/>
              <w:jc w:val="center"/>
              <w:rPr>
                <w:color w:val="auto"/>
                <w:kern w:val="0"/>
              </w:rPr>
            </w:pPr>
            <w:r>
              <w:rPr>
                <w:color w:val="auto"/>
                <w:kern w:val="0"/>
              </w:rPr>
              <w:t>150</w:t>
            </w:r>
            <w:r>
              <w:rPr>
                <w:rFonts w:hint="eastAsia"/>
                <w:color w:val="auto"/>
                <w:kern w:val="0"/>
              </w:rPr>
              <w:t>72</w:t>
            </w:r>
          </w:p>
        </w:tc>
        <w:tc>
          <w:tcPr>
            <w:tcW w:w="3281" w:type="dxa"/>
            <w:tcBorders>
              <w:top w:val="single" w:color="auto" w:sz="4" w:space="0"/>
              <w:left w:val="single" w:color="auto" w:sz="4" w:space="0"/>
              <w:bottom w:val="single" w:color="auto" w:sz="4" w:space="0"/>
              <w:right w:val="single" w:color="auto" w:sz="4" w:space="0"/>
            </w:tcBorders>
            <w:shd w:val="clear" w:color="auto" w:fill="auto"/>
            <w:vAlign w:val="center"/>
          </w:tcPr>
          <w:p w14:paraId="6AB86923">
            <w:pPr>
              <w:widowControl/>
              <w:spacing w:line="280" w:lineRule="exact"/>
              <w:jc w:val="center"/>
              <w:rPr>
                <w:color w:val="auto"/>
                <w:kern w:val="0"/>
              </w:rPr>
            </w:pPr>
            <w:r>
              <w:rPr>
                <w:color w:val="auto"/>
                <w:kern w:val="0"/>
              </w:rPr>
              <w:t>0.5143</w:t>
            </w:r>
          </w:p>
        </w:tc>
      </w:tr>
      <w:tr w14:paraId="7EB0DE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0"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9744CA8">
            <w:pPr>
              <w:widowControl/>
              <w:spacing w:line="280" w:lineRule="exact"/>
              <w:rPr>
                <w:color w:val="auto"/>
                <w:kern w:val="0"/>
              </w:rPr>
            </w:pPr>
          </w:p>
        </w:tc>
        <w:tc>
          <w:tcPr>
            <w:tcW w:w="2464" w:type="dxa"/>
            <w:tcBorders>
              <w:top w:val="single" w:color="auto" w:sz="4" w:space="0"/>
              <w:left w:val="single" w:color="auto" w:sz="4" w:space="0"/>
              <w:bottom w:val="single" w:color="auto" w:sz="4" w:space="0"/>
              <w:right w:val="single" w:color="auto" w:sz="4" w:space="0"/>
            </w:tcBorders>
            <w:shd w:val="clear" w:color="auto" w:fill="auto"/>
            <w:vAlign w:val="center"/>
          </w:tcPr>
          <w:p w14:paraId="2DADCB1C">
            <w:pPr>
              <w:widowControl/>
              <w:spacing w:line="280" w:lineRule="exact"/>
              <w:rPr>
                <w:color w:val="auto"/>
                <w:kern w:val="0"/>
              </w:rPr>
            </w:pPr>
            <w:r>
              <w:rPr>
                <w:color w:val="auto"/>
                <w:kern w:val="0"/>
              </w:rPr>
              <w:t>f)水煤气</w:t>
            </w:r>
          </w:p>
        </w:tc>
        <w:tc>
          <w:tcPr>
            <w:tcW w:w="2240" w:type="dxa"/>
            <w:tcBorders>
              <w:top w:val="single" w:color="auto" w:sz="4" w:space="0"/>
              <w:left w:val="single" w:color="auto" w:sz="4" w:space="0"/>
              <w:bottom w:val="single" w:color="auto" w:sz="4" w:space="0"/>
              <w:right w:val="single" w:color="auto" w:sz="4" w:space="0"/>
            </w:tcBorders>
            <w:shd w:val="clear" w:color="auto" w:fill="auto"/>
            <w:vAlign w:val="center"/>
          </w:tcPr>
          <w:p w14:paraId="7F55B13B">
            <w:pPr>
              <w:widowControl/>
              <w:spacing w:line="280" w:lineRule="exact"/>
              <w:jc w:val="center"/>
              <w:rPr>
                <w:color w:val="auto"/>
                <w:kern w:val="0"/>
              </w:rPr>
            </w:pPr>
            <w:r>
              <w:rPr>
                <w:color w:val="auto"/>
                <w:kern w:val="0"/>
              </w:rPr>
              <w:t>104</w:t>
            </w:r>
            <w:r>
              <w:rPr>
                <w:rFonts w:hint="eastAsia"/>
                <w:color w:val="auto"/>
                <w:kern w:val="0"/>
              </w:rPr>
              <w:t>67</w:t>
            </w:r>
          </w:p>
        </w:tc>
        <w:tc>
          <w:tcPr>
            <w:tcW w:w="3281" w:type="dxa"/>
            <w:tcBorders>
              <w:top w:val="single" w:color="auto" w:sz="4" w:space="0"/>
              <w:left w:val="single" w:color="auto" w:sz="4" w:space="0"/>
              <w:bottom w:val="single" w:color="auto" w:sz="4" w:space="0"/>
              <w:right w:val="single" w:color="auto" w:sz="4" w:space="0"/>
            </w:tcBorders>
            <w:shd w:val="clear" w:color="auto" w:fill="auto"/>
            <w:vAlign w:val="center"/>
          </w:tcPr>
          <w:p w14:paraId="157D3041">
            <w:pPr>
              <w:widowControl/>
              <w:spacing w:line="280" w:lineRule="exact"/>
              <w:jc w:val="center"/>
              <w:rPr>
                <w:color w:val="auto"/>
                <w:kern w:val="0"/>
              </w:rPr>
            </w:pPr>
            <w:r>
              <w:rPr>
                <w:color w:val="auto"/>
                <w:kern w:val="0"/>
              </w:rPr>
              <w:t>0.3571</w:t>
            </w:r>
          </w:p>
        </w:tc>
      </w:tr>
    </w:tbl>
    <w:p w14:paraId="790E2361">
      <w:pPr>
        <w:pStyle w:val="40"/>
        <w:spacing w:before="240" w:after="240"/>
        <w:outlineLvl w:val="9"/>
        <w:rPr>
          <w:color w:val="auto"/>
        </w:rPr>
      </w:pPr>
      <w:bookmarkStart w:id="86" w:name="_Toc167982634"/>
      <w:bookmarkStart w:id="87" w:name="_Toc167983294"/>
      <w:bookmarkStart w:id="88" w:name="_Toc168053924"/>
    </w:p>
    <w:p w14:paraId="3228AE83">
      <w:pPr>
        <w:pStyle w:val="40"/>
        <w:spacing w:before="240" w:after="240"/>
        <w:outlineLvl w:val="9"/>
        <w:rPr>
          <w:color w:val="auto"/>
        </w:rPr>
      </w:pPr>
    </w:p>
    <w:p w14:paraId="67ACA964"/>
    <w:p w14:paraId="3858AE25">
      <w:pPr>
        <w:pStyle w:val="40"/>
        <w:spacing w:before="240" w:after="240"/>
        <w:outlineLvl w:val="9"/>
        <w:rPr>
          <w:color w:val="auto"/>
        </w:rPr>
      </w:pPr>
      <w:r>
        <w:rPr>
          <w:color w:val="auto"/>
        </w:rPr>
        <w:t>表</w:t>
      </w:r>
      <w:r>
        <w:rPr>
          <w:rFonts w:hint="eastAsia"/>
          <w:color w:val="auto"/>
        </w:rPr>
        <w:t>B</w:t>
      </w:r>
      <w:r>
        <w:rPr>
          <w:color w:val="auto"/>
        </w:rPr>
        <w:t>.3 热力与电力能源</w:t>
      </w:r>
      <w:bookmarkEnd w:id="86"/>
      <w:bookmarkEnd w:id="87"/>
      <w:bookmarkEnd w:id="88"/>
    </w:p>
    <w:tbl>
      <w:tblPr>
        <w:tblStyle w:val="1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2925"/>
        <w:gridCol w:w="2246"/>
        <w:gridCol w:w="3281"/>
      </w:tblGrid>
      <w:tr w14:paraId="1DEB5D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925" w:type="dxa"/>
            <w:tcBorders>
              <w:top w:val="single" w:color="auto" w:sz="4" w:space="0"/>
              <w:left w:val="single" w:color="auto" w:sz="4" w:space="0"/>
              <w:bottom w:val="single" w:color="auto" w:sz="4" w:space="0"/>
              <w:right w:val="single" w:color="auto" w:sz="4" w:space="0"/>
            </w:tcBorders>
            <w:shd w:val="clear" w:color="auto" w:fill="auto"/>
            <w:vAlign w:val="center"/>
          </w:tcPr>
          <w:p w14:paraId="3D1D931D">
            <w:pPr>
              <w:widowControl/>
              <w:spacing w:line="280" w:lineRule="exact"/>
              <w:jc w:val="center"/>
              <w:rPr>
                <w:color w:val="auto"/>
                <w:kern w:val="0"/>
              </w:rPr>
            </w:pPr>
            <w:r>
              <w:rPr>
                <w:color w:val="auto"/>
                <w:kern w:val="0"/>
              </w:rPr>
              <w:t>能源名称</w:t>
            </w:r>
          </w:p>
        </w:tc>
        <w:tc>
          <w:tcPr>
            <w:tcW w:w="2246" w:type="dxa"/>
            <w:tcBorders>
              <w:top w:val="single" w:color="auto" w:sz="4" w:space="0"/>
              <w:left w:val="single" w:color="auto" w:sz="4" w:space="0"/>
              <w:bottom w:val="single" w:color="auto" w:sz="4" w:space="0"/>
              <w:right w:val="single" w:color="auto" w:sz="4" w:space="0"/>
            </w:tcBorders>
            <w:shd w:val="clear" w:color="auto" w:fill="auto"/>
            <w:vAlign w:val="center"/>
          </w:tcPr>
          <w:p w14:paraId="32A198ED">
            <w:pPr>
              <w:widowControl/>
              <w:spacing w:line="280" w:lineRule="exact"/>
              <w:jc w:val="center"/>
              <w:rPr>
                <w:color w:val="auto"/>
                <w:kern w:val="0"/>
              </w:rPr>
            </w:pPr>
            <w:r>
              <w:rPr>
                <w:color w:val="auto"/>
                <w:kern w:val="0"/>
              </w:rPr>
              <w:t>当量值，kJ</w:t>
            </w:r>
          </w:p>
        </w:tc>
        <w:tc>
          <w:tcPr>
            <w:tcW w:w="3281" w:type="dxa"/>
            <w:tcBorders>
              <w:top w:val="single" w:color="auto" w:sz="4" w:space="0"/>
              <w:left w:val="single" w:color="auto" w:sz="4" w:space="0"/>
              <w:bottom w:val="single" w:color="auto" w:sz="4" w:space="0"/>
              <w:right w:val="single" w:color="auto" w:sz="4" w:space="0"/>
            </w:tcBorders>
            <w:shd w:val="clear" w:color="auto" w:fill="auto"/>
            <w:vAlign w:val="center"/>
          </w:tcPr>
          <w:p w14:paraId="7C748A52">
            <w:pPr>
              <w:widowControl/>
              <w:spacing w:line="280" w:lineRule="exact"/>
              <w:jc w:val="center"/>
              <w:rPr>
                <w:color w:val="auto"/>
                <w:kern w:val="0"/>
              </w:rPr>
            </w:pPr>
            <w:r>
              <w:rPr>
                <w:color w:val="auto"/>
                <w:kern w:val="0"/>
              </w:rPr>
              <w:t>折标准煤系数，kgce</w:t>
            </w:r>
          </w:p>
        </w:tc>
      </w:tr>
      <w:tr w14:paraId="39E8D1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925" w:type="dxa"/>
            <w:tcBorders>
              <w:top w:val="single" w:color="auto" w:sz="4" w:space="0"/>
              <w:left w:val="single" w:color="auto" w:sz="4" w:space="0"/>
              <w:bottom w:val="single" w:color="auto" w:sz="4" w:space="0"/>
              <w:right w:val="single" w:color="auto" w:sz="4" w:space="0"/>
            </w:tcBorders>
            <w:shd w:val="clear" w:color="auto" w:fill="auto"/>
            <w:vAlign w:val="center"/>
          </w:tcPr>
          <w:p w14:paraId="697E5955">
            <w:pPr>
              <w:widowControl/>
              <w:spacing w:line="280" w:lineRule="exact"/>
              <w:rPr>
                <w:color w:val="auto"/>
                <w:kern w:val="0"/>
              </w:rPr>
            </w:pPr>
            <w:r>
              <w:rPr>
                <w:color w:val="auto"/>
                <w:kern w:val="0"/>
              </w:rPr>
              <w:t>热力(当量值)</w:t>
            </w:r>
          </w:p>
        </w:tc>
        <w:tc>
          <w:tcPr>
            <w:tcW w:w="2246" w:type="dxa"/>
            <w:tcBorders>
              <w:top w:val="single" w:color="auto" w:sz="4" w:space="0"/>
              <w:left w:val="single" w:color="auto" w:sz="4" w:space="0"/>
              <w:bottom w:val="single" w:color="auto" w:sz="4" w:space="0"/>
              <w:right w:val="single" w:color="auto" w:sz="4" w:space="0"/>
            </w:tcBorders>
            <w:shd w:val="clear" w:color="auto" w:fill="auto"/>
            <w:vAlign w:val="center"/>
          </w:tcPr>
          <w:p w14:paraId="2F35F9BB">
            <w:pPr>
              <w:widowControl/>
              <w:spacing w:line="280" w:lineRule="exact"/>
              <w:jc w:val="center"/>
              <w:rPr>
                <w:color w:val="auto"/>
                <w:kern w:val="0"/>
              </w:rPr>
            </w:pPr>
            <w:r>
              <w:rPr>
                <w:color w:val="auto"/>
                <w:kern w:val="0"/>
              </w:rPr>
              <w:t>1</w:t>
            </w:r>
          </w:p>
        </w:tc>
        <w:tc>
          <w:tcPr>
            <w:tcW w:w="3281" w:type="dxa"/>
            <w:tcBorders>
              <w:top w:val="single" w:color="auto" w:sz="4" w:space="0"/>
              <w:left w:val="single" w:color="auto" w:sz="4" w:space="0"/>
              <w:bottom w:val="single" w:color="auto" w:sz="4" w:space="0"/>
              <w:right w:val="single" w:color="auto" w:sz="4" w:space="0"/>
            </w:tcBorders>
            <w:shd w:val="clear" w:color="auto" w:fill="auto"/>
            <w:vAlign w:val="center"/>
          </w:tcPr>
          <w:p w14:paraId="44BA4B55">
            <w:pPr>
              <w:widowControl/>
              <w:spacing w:line="280" w:lineRule="exact"/>
              <w:jc w:val="center"/>
              <w:rPr>
                <w:color w:val="auto"/>
                <w:kern w:val="0"/>
              </w:rPr>
            </w:pPr>
            <w:r>
              <w:rPr>
                <w:color w:val="auto"/>
                <w:kern w:val="0"/>
              </w:rPr>
              <w:t>0.03412</w:t>
            </w:r>
          </w:p>
        </w:tc>
      </w:tr>
      <w:tr w14:paraId="165CEA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925" w:type="dxa"/>
            <w:tcBorders>
              <w:top w:val="single" w:color="auto" w:sz="4" w:space="0"/>
              <w:left w:val="single" w:color="auto" w:sz="4" w:space="0"/>
              <w:bottom w:val="single" w:color="auto" w:sz="4" w:space="0"/>
              <w:right w:val="single" w:color="auto" w:sz="4" w:space="0"/>
            </w:tcBorders>
            <w:shd w:val="clear" w:color="auto" w:fill="auto"/>
            <w:vAlign w:val="center"/>
          </w:tcPr>
          <w:p w14:paraId="33C92C1D">
            <w:pPr>
              <w:widowControl/>
              <w:spacing w:line="280" w:lineRule="exact"/>
              <w:rPr>
                <w:color w:val="auto"/>
                <w:kern w:val="0"/>
              </w:rPr>
            </w:pPr>
            <w:r>
              <w:rPr>
                <w:color w:val="auto"/>
                <w:kern w:val="0"/>
              </w:rPr>
              <w:t>电力</w:t>
            </w:r>
            <w:r>
              <w:rPr>
                <w:rFonts w:hint="eastAsia"/>
                <w:color w:val="auto"/>
                <w:kern w:val="0"/>
              </w:rPr>
              <w:t>（当量值）</w:t>
            </w:r>
            <w:r>
              <w:rPr>
                <w:color w:val="auto"/>
                <w:kern w:val="0"/>
              </w:rPr>
              <w:t>，1kW·h</w:t>
            </w:r>
          </w:p>
        </w:tc>
        <w:tc>
          <w:tcPr>
            <w:tcW w:w="2246" w:type="dxa"/>
            <w:tcBorders>
              <w:top w:val="single" w:color="auto" w:sz="4" w:space="0"/>
              <w:left w:val="single" w:color="auto" w:sz="4" w:space="0"/>
              <w:bottom w:val="single" w:color="auto" w:sz="4" w:space="0"/>
              <w:right w:val="single" w:color="auto" w:sz="4" w:space="0"/>
            </w:tcBorders>
            <w:shd w:val="clear" w:color="auto" w:fill="auto"/>
            <w:vAlign w:val="center"/>
          </w:tcPr>
          <w:p w14:paraId="47AE19EB">
            <w:pPr>
              <w:widowControl/>
              <w:spacing w:line="280" w:lineRule="exact"/>
              <w:jc w:val="center"/>
              <w:rPr>
                <w:color w:val="auto"/>
                <w:kern w:val="0"/>
              </w:rPr>
            </w:pPr>
            <w:r>
              <w:rPr>
                <w:color w:val="auto"/>
                <w:kern w:val="0"/>
              </w:rPr>
              <w:t>3600</w:t>
            </w:r>
          </w:p>
        </w:tc>
        <w:tc>
          <w:tcPr>
            <w:tcW w:w="3281" w:type="dxa"/>
            <w:tcBorders>
              <w:top w:val="single" w:color="auto" w:sz="4" w:space="0"/>
              <w:left w:val="single" w:color="auto" w:sz="4" w:space="0"/>
              <w:bottom w:val="single" w:color="auto" w:sz="4" w:space="0"/>
              <w:right w:val="single" w:color="auto" w:sz="4" w:space="0"/>
            </w:tcBorders>
            <w:shd w:val="clear" w:color="auto" w:fill="auto"/>
            <w:vAlign w:val="center"/>
          </w:tcPr>
          <w:p w14:paraId="7D252DD9">
            <w:pPr>
              <w:widowControl/>
              <w:spacing w:line="280" w:lineRule="exact"/>
              <w:jc w:val="center"/>
              <w:rPr>
                <w:color w:val="auto"/>
                <w:kern w:val="0"/>
              </w:rPr>
            </w:pPr>
            <w:r>
              <w:rPr>
                <w:color w:val="auto"/>
                <w:kern w:val="0"/>
              </w:rPr>
              <w:t>0.1229</w:t>
            </w:r>
          </w:p>
        </w:tc>
      </w:tr>
      <w:tr w14:paraId="684229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925" w:type="dxa"/>
            <w:tcBorders>
              <w:top w:val="single" w:color="auto" w:sz="4" w:space="0"/>
              <w:left w:val="single" w:color="auto" w:sz="4" w:space="0"/>
              <w:bottom w:val="single" w:color="auto" w:sz="4" w:space="0"/>
              <w:right w:val="single" w:color="auto" w:sz="4" w:space="0"/>
            </w:tcBorders>
            <w:shd w:val="clear" w:color="auto" w:fill="auto"/>
            <w:vAlign w:val="center"/>
          </w:tcPr>
          <w:p w14:paraId="613764A6">
            <w:pPr>
              <w:widowControl/>
              <w:spacing w:line="280" w:lineRule="exact"/>
              <w:rPr>
                <w:color w:val="auto"/>
                <w:kern w:val="0"/>
              </w:rPr>
            </w:pPr>
            <w:r>
              <w:rPr>
                <w:rFonts w:hint="eastAsia"/>
                <w:color w:val="auto"/>
                <w:kern w:val="0"/>
              </w:rPr>
              <w:t>电力（等价值）</w:t>
            </w:r>
          </w:p>
        </w:tc>
        <w:tc>
          <w:tcPr>
            <w:tcW w:w="2246" w:type="dxa"/>
            <w:tcBorders>
              <w:top w:val="single" w:color="auto" w:sz="4" w:space="0"/>
              <w:left w:val="single" w:color="auto" w:sz="4" w:space="0"/>
              <w:bottom w:val="single" w:color="auto" w:sz="4" w:space="0"/>
              <w:right w:val="single" w:color="auto" w:sz="4" w:space="0"/>
            </w:tcBorders>
            <w:shd w:val="clear" w:color="auto" w:fill="auto"/>
            <w:vAlign w:val="center"/>
          </w:tcPr>
          <w:p w14:paraId="251D2646">
            <w:pPr>
              <w:widowControl/>
              <w:spacing w:line="280" w:lineRule="exact"/>
              <w:jc w:val="center"/>
              <w:rPr>
                <w:color w:val="auto"/>
                <w:kern w:val="0"/>
              </w:rPr>
            </w:pPr>
            <w:r>
              <w:rPr>
                <w:rFonts w:hint="eastAsia"/>
                <w:color w:val="auto"/>
                <w:kern w:val="0"/>
              </w:rPr>
              <w:t>/</w:t>
            </w:r>
          </w:p>
        </w:tc>
        <w:tc>
          <w:tcPr>
            <w:tcW w:w="3281" w:type="dxa"/>
            <w:tcBorders>
              <w:top w:val="single" w:color="auto" w:sz="4" w:space="0"/>
              <w:left w:val="single" w:color="auto" w:sz="4" w:space="0"/>
              <w:bottom w:val="single" w:color="auto" w:sz="4" w:space="0"/>
              <w:right w:val="single" w:color="auto" w:sz="4" w:space="0"/>
            </w:tcBorders>
            <w:shd w:val="clear" w:color="auto" w:fill="auto"/>
            <w:vAlign w:val="center"/>
          </w:tcPr>
          <w:p w14:paraId="6A520978">
            <w:pPr>
              <w:widowControl/>
              <w:spacing w:line="280" w:lineRule="exact"/>
              <w:jc w:val="center"/>
              <w:rPr>
                <w:color w:val="auto"/>
                <w:kern w:val="0"/>
              </w:rPr>
            </w:pPr>
            <w:r>
              <w:rPr>
                <w:rFonts w:hint="eastAsia"/>
                <w:color w:val="auto"/>
                <w:kern w:val="0"/>
              </w:rPr>
              <w:t>按上年电厂发电标准煤耗计算</w:t>
            </w:r>
          </w:p>
        </w:tc>
      </w:tr>
    </w:tbl>
    <w:p w14:paraId="79E681D1">
      <w:pPr>
        <w:ind w:firstLine="420" w:firstLineChars="200"/>
        <w:rPr>
          <w:rFonts w:hint="default" w:eastAsia="宋体"/>
          <w:color w:val="0000FF"/>
          <w:lang w:val="en-US" w:eastAsia="zh-CN"/>
        </w:rPr>
      </w:pPr>
      <w:bookmarkStart w:id="89" w:name="_Toc167982635"/>
      <w:r>
        <w:rPr>
          <w:rFonts w:hint="eastAsia"/>
          <w:color w:val="auto"/>
        </w:rPr>
        <w:t xml:space="preserve">注：表 B.1~ 表 B.3 数据参照 GB 29449-2024 附录 </w:t>
      </w:r>
      <w:r>
        <w:rPr>
          <w:rFonts w:hint="eastAsia"/>
          <w:color w:val="auto"/>
          <w:lang w:val="en-US" w:eastAsia="zh-CN"/>
        </w:rPr>
        <w:t>B</w:t>
      </w:r>
      <w:r>
        <w:rPr>
          <w:rFonts w:hint="eastAsia"/>
          <w:color w:val="auto"/>
          <w:lang w:eastAsia="zh-CN"/>
        </w:rPr>
        <w:t>。</w:t>
      </w:r>
    </w:p>
    <w:p w14:paraId="10AEF30D">
      <w:pPr>
        <w:widowControl/>
        <w:adjustRightInd/>
        <w:spacing w:line="240" w:lineRule="auto"/>
        <w:jc w:val="left"/>
        <w:rPr>
          <w:rFonts w:ascii="黑体" w:hAnsi="Times New Roman" w:eastAsia="黑体"/>
          <w:color w:val="auto"/>
          <w:kern w:val="0"/>
          <w:sz w:val="32"/>
          <w:szCs w:val="20"/>
        </w:rPr>
      </w:pPr>
      <w:r>
        <w:rPr>
          <w:rFonts w:ascii="黑体" w:hAnsi="Times New Roman" w:eastAsia="黑体"/>
          <w:b/>
          <w:bCs/>
          <w:color w:val="auto"/>
          <w:kern w:val="0"/>
          <w:szCs w:val="20"/>
        </w:rPr>
        <w:br w:type="page"/>
      </w:r>
    </w:p>
    <w:p w14:paraId="26F1F7EE">
      <w:pPr>
        <w:pStyle w:val="3"/>
        <w:spacing w:before="240" w:after="240"/>
        <w:jc w:val="center"/>
        <w:rPr>
          <w:rFonts w:ascii="黑体" w:hAnsi="Times New Roman" w:eastAsia="黑体" w:cs="Times New Roman"/>
          <w:b w:val="0"/>
          <w:bCs w:val="0"/>
          <w:color w:val="auto"/>
          <w:kern w:val="0"/>
          <w:szCs w:val="20"/>
        </w:rPr>
      </w:pPr>
      <w:r>
        <w:rPr>
          <w:rFonts w:ascii="黑体" w:hAnsi="Times New Roman" w:eastAsia="黑体" w:cs="Times New Roman"/>
          <w:b w:val="0"/>
          <w:bCs w:val="0"/>
          <w:color w:val="auto"/>
          <w:kern w:val="0"/>
          <w:szCs w:val="20"/>
        </w:rPr>
        <w:t xml:space="preserve">附  录  </w:t>
      </w:r>
      <w:bookmarkEnd w:id="89"/>
      <w:r>
        <w:rPr>
          <w:rFonts w:hint="eastAsia" w:ascii="黑体" w:hAnsi="Times New Roman" w:eastAsia="黑体" w:cs="Times New Roman"/>
          <w:b w:val="0"/>
          <w:bCs w:val="0"/>
          <w:color w:val="auto"/>
          <w:kern w:val="0"/>
          <w:szCs w:val="20"/>
        </w:rPr>
        <w:t>C</w:t>
      </w:r>
    </w:p>
    <w:p w14:paraId="2BC12EAB">
      <w:pPr>
        <w:pStyle w:val="40"/>
        <w:shd w:val="clear" w:color="FFFFFF" w:fill="FFFFFF"/>
        <w:snapToGrid w:val="0"/>
        <w:spacing w:before="220" w:after="220"/>
        <w:outlineLvl w:val="9"/>
        <w:rPr>
          <w:color w:val="auto"/>
        </w:rPr>
      </w:pPr>
      <w:bookmarkStart w:id="90" w:name="_Toc167982636"/>
      <w:r>
        <w:rPr>
          <w:color w:val="auto"/>
        </w:rPr>
        <w:t>(资料性)</w:t>
      </w:r>
      <w:bookmarkEnd w:id="90"/>
    </w:p>
    <w:p w14:paraId="2D281B5B">
      <w:pPr>
        <w:pStyle w:val="40"/>
        <w:shd w:val="clear" w:color="FFFFFF" w:fill="FFFFFF"/>
        <w:snapToGrid w:val="0"/>
        <w:spacing w:before="220" w:after="220"/>
        <w:outlineLvl w:val="9"/>
        <w:rPr>
          <w:color w:val="auto"/>
        </w:rPr>
      </w:pPr>
      <w:bookmarkStart w:id="91" w:name="_Toc167982637"/>
      <w:r>
        <w:rPr>
          <w:color w:val="auto"/>
        </w:rPr>
        <w:t>耗能工质折标准煤参考系数</w:t>
      </w:r>
      <w:bookmarkEnd w:id="91"/>
    </w:p>
    <w:p w14:paraId="76AE459A">
      <w:pPr>
        <w:pStyle w:val="40"/>
        <w:shd w:val="clear" w:color="FFFFFF" w:fill="FFFFFF"/>
        <w:snapToGrid w:val="0"/>
        <w:spacing w:before="220" w:after="220"/>
        <w:outlineLvl w:val="9"/>
        <w:rPr>
          <w:color w:val="auto"/>
        </w:rPr>
      </w:pPr>
    </w:p>
    <w:p w14:paraId="16B11318">
      <w:pPr>
        <w:pStyle w:val="40"/>
        <w:shd w:val="clear" w:color="FFFFFF" w:fill="FFFFFF"/>
        <w:spacing w:before="240" w:after="240"/>
        <w:outlineLvl w:val="9"/>
        <w:rPr>
          <w:rFonts w:ascii="黑体" w:hAnsi="Times New Roman" w:eastAsia="黑体" w:cs="Times New Roman"/>
          <w:b w:val="0"/>
          <w:bCs w:val="0"/>
          <w:color w:val="auto"/>
          <w:kern w:val="0"/>
          <w:szCs w:val="20"/>
        </w:rPr>
      </w:pPr>
      <w:bookmarkStart w:id="92" w:name="_Toc167982638"/>
      <w:r>
        <w:rPr>
          <w:color w:val="auto"/>
        </w:rPr>
        <w:t>表</w:t>
      </w:r>
      <w:r>
        <w:rPr>
          <w:rFonts w:hint="eastAsia"/>
          <w:color w:val="auto"/>
        </w:rPr>
        <w:t>C</w:t>
      </w:r>
      <w:r>
        <w:rPr>
          <w:color w:val="auto"/>
        </w:rPr>
        <w:t>.1 液态、固态工质</w:t>
      </w:r>
      <w:bookmarkEnd w:id="92"/>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60"/>
        <w:gridCol w:w="2240"/>
        <w:gridCol w:w="3322"/>
      </w:tblGrid>
      <w:tr w14:paraId="7DD3C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960" w:type="dxa"/>
            <w:tcBorders>
              <w:top w:val="single" w:color="auto" w:sz="4" w:space="0"/>
              <w:left w:val="single" w:color="auto" w:sz="4" w:space="0"/>
              <w:bottom w:val="single" w:color="auto" w:sz="4" w:space="0"/>
              <w:right w:val="single" w:color="auto" w:sz="4" w:space="0"/>
            </w:tcBorders>
            <w:shd w:val="clear" w:color="auto" w:fill="auto"/>
            <w:vAlign w:val="center"/>
          </w:tcPr>
          <w:p w14:paraId="223633CC">
            <w:pPr>
              <w:widowControl/>
              <w:spacing w:line="320" w:lineRule="exact"/>
              <w:jc w:val="center"/>
              <w:rPr>
                <w:bCs/>
                <w:color w:val="auto"/>
                <w:kern w:val="0"/>
              </w:rPr>
            </w:pPr>
            <w:r>
              <w:rPr>
                <w:bCs/>
                <w:color w:val="auto"/>
                <w:kern w:val="0"/>
              </w:rPr>
              <w:t>工质，1吨</w:t>
            </w:r>
          </w:p>
        </w:tc>
        <w:tc>
          <w:tcPr>
            <w:tcW w:w="2240" w:type="dxa"/>
            <w:tcBorders>
              <w:top w:val="single" w:color="auto" w:sz="4" w:space="0"/>
              <w:left w:val="single" w:color="auto" w:sz="4" w:space="0"/>
              <w:bottom w:val="single" w:color="auto" w:sz="4" w:space="0"/>
              <w:right w:val="single" w:color="auto" w:sz="4" w:space="0"/>
            </w:tcBorders>
            <w:shd w:val="clear" w:color="auto" w:fill="auto"/>
            <w:vAlign w:val="center"/>
          </w:tcPr>
          <w:p w14:paraId="146DD5CE">
            <w:pPr>
              <w:widowControl/>
              <w:spacing w:line="320" w:lineRule="exact"/>
              <w:jc w:val="center"/>
              <w:rPr>
                <w:bCs/>
                <w:color w:val="auto"/>
                <w:kern w:val="0"/>
              </w:rPr>
            </w:pPr>
            <w:r>
              <w:rPr>
                <w:bCs/>
                <w:color w:val="auto"/>
                <w:kern w:val="0"/>
              </w:rPr>
              <w:t>耗能量，MJ</w:t>
            </w:r>
          </w:p>
        </w:tc>
        <w:tc>
          <w:tcPr>
            <w:tcW w:w="3322" w:type="dxa"/>
            <w:tcBorders>
              <w:top w:val="single" w:color="auto" w:sz="4" w:space="0"/>
              <w:left w:val="single" w:color="auto" w:sz="4" w:space="0"/>
              <w:bottom w:val="single" w:color="auto" w:sz="4" w:space="0"/>
              <w:right w:val="single" w:color="auto" w:sz="4" w:space="0"/>
            </w:tcBorders>
            <w:shd w:val="clear" w:color="auto" w:fill="auto"/>
            <w:vAlign w:val="center"/>
          </w:tcPr>
          <w:p w14:paraId="54AFF842">
            <w:pPr>
              <w:widowControl/>
              <w:spacing w:line="320" w:lineRule="exact"/>
              <w:jc w:val="center"/>
              <w:rPr>
                <w:bCs/>
                <w:color w:val="auto"/>
                <w:kern w:val="0"/>
              </w:rPr>
            </w:pPr>
            <w:r>
              <w:rPr>
                <w:bCs/>
                <w:color w:val="auto"/>
                <w:kern w:val="0"/>
              </w:rPr>
              <w:t>折标准煤系数，</w:t>
            </w:r>
            <w:r>
              <w:rPr>
                <w:rFonts w:hint="eastAsia"/>
                <w:bCs/>
                <w:color w:val="auto"/>
                <w:kern w:val="0"/>
              </w:rPr>
              <w:t>kg</w:t>
            </w:r>
            <w:r>
              <w:rPr>
                <w:bCs/>
                <w:color w:val="auto"/>
                <w:kern w:val="0"/>
              </w:rPr>
              <w:t>ce</w:t>
            </w:r>
          </w:p>
        </w:tc>
      </w:tr>
      <w:tr w14:paraId="43F29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960" w:type="dxa"/>
            <w:tcBorders>
              <w:top w:val="single" w:color="auto" w:sz="4" w:space="0"/>
              <w:left w:val="single" w:color="auto" w:sz="4" w:space="0"/>
              <w:bottom w:val="single" w:color="auto" w:sz="4" w:space="0"/>
              <w:right w:val="single" w:color="auto" w:sz="4" w:space="0"/>
            </w:tcBorders>
            <w:shd w:val="clear" w:color="auto" w:fill="auto"/>
            <w:vAlign w:val="center"/>
          </w:tcPr>
          <w:p w14:paraId="4173F378">
            <w:pPr>
              <w:widowControl/>
              <w:spacing w:line="320" w:lineRule="exact"/>
              <w:rPr>
                <w:bCs/>
                <w:color w:val="auto"/>
                <w:kern w:val="0"/>
              </w:rPr>
            </w:pPr>
            <w:r>
              <w:rPr>
                <w:bCs/>
                <w:color w:val="auto"/>
                <w:kern w:val="0"/>
              </w:rPr>
              <w:t>新水</w:t>
            </w:r>
          </w:p>
        </w:tc>
        <w:tc>
          <w:tcPr>
            <w:tcW w:w="2240" w:type="dxa"/>
            <w:tcBorders>
              <w:top w:val="single" w:color="auto" w:sz="4" w:space="0"/>
              <w:left w:val="single" w:color="auto" w:sz="4" w:space="0"/>
              <w:bottom w:val="single" w:color="auto" w:sz="4" w:space="0"/>
              <w:right w:val="single" w:color="auto" w:sz="4" w:space="0"/>
            </w:tcBorders>
            <w:shd w:val="clear" w:color="auto" w:fill="auto"/>
            <w:vAlign w:val="center"/>
          </w:tcPr>
          <w:p w14:paraId="1850299F">
            <w:pPr>
              <w:widowControl/>
              <w:spacing w:line="320" w:lineRule="exact"/>
              <w:jc w:val="center"/>
              <w:rPr>
                <w:bCs/>
                <w:color w:val="auto"/>
                <w:kern w:val="0"/>
              </w:rPr>
            </w:pPr>
            <w:r>
              <w:rPr>
                <w:rFonts w:hint="eastAsia"/>
                <w:bCs/>
                <w:color w:val="auto"/>
                <w:kern w:val="0"/>
              </w:rPr>
              <w:t>7.54</w:t>
            </w:r>
          </w:p>
        </w:tc>
        <w:tc>
          <w:tcPr>
            <w:tcW w:w="3322" w:type="dxa"/>
            <w:tcBorders>
              <w:top w:val="single" w:color="auto" w:sz="4" w:space="0"/>
              <w:left w:val="single" w:color="auto" w:sz="4" w:space="0"/>
              <w:bottom w:val="single" w:color="auto" w:sz="4" w:space="0"/>
              <w:right w:val="single" w:color="auto" w:sz="4" w:space="0"/>
            </w:tcBorders>
            <w:shd w:val="clear" w:color="auto" w:fill="auto"/>
            <w:vAlign w:val="center"/>
          </w:tcPr>
          <w:p w14:paraId="5659893C">
            <w:pPr>
              <w:widowControl/>
              <w:spacing w:line="320" w:lineRule="exact"/>
              <w:jc w:val="center"/>
              <w:rPr>
                <w:bCs/>
                <w:color w:val="auto"/>
                <w:kern w:val="0"/>
              </w:rPr>
            </w:pPr>
            <w:r>
              <w:rPr>
                <w:bCs/>
                <w:color w:val="auto"/>
                <w:kern w:val="0"/>
              </w:rPr>
              <w:t>0.</w:t>
            </w:r>
            <w:r>
              <w:rPr>
                <w:rFonts w:hint="eastAsia"/>
                <w:bCs/>
                <w:color w:val="auto"/>
                <w:kern w:val="0"/>
              </w:rPr>
              <w:t>2571</w:t>
            </w:r>
          </w:p>
        </w:tc>
      </w:tr>
      <w:tr w14:paraId="7AAF1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960" w:type="dxa"/>
            <w:tcBorders>
              <w:top w:val="single" w:color="auto" w:sz="4" w:space="0"/>
              <w:left w:val="single" w:color="auto" w:sz="4" w:space="0"/>
              <w:bottom w:val="single" w:color="auto" w:sz="4" w:space="0"/>
              <w:right w:val="single" w:color="auto" w:sz="4" w:space="0"/>
            </w:tcBorders>
            <w:shd w:val="clear" w:color="auto" w:fill="auto"/>
            <w:vAlign w:val="center"/>
          </w:tcPr>
          <w:p w14:paraId="4DE8A574">
            <w:pPr>
              <w:widowControl/>
              <w:spacing w:line="320" w:lineRule="exact"/>
              <w:rPr>
                <w:bCs/>
                <w:color w:val="auto"/>
                <w:kern w:val="0"/>
              </w:rPr>
            </w:pPr>
            <w:r>
              <w:rPr>
                <w:bCs/>
                <w:color w:val="auto"/>
                <w:kern w:val="0"/>
              </w:rPr>
              <w:t>软水</w:t>
            </w:r>
          </w:p>
        </w:tc>
        <w:tc>
          <w:tcPr>
            <w:tcW w:w="2240" w:type="dxa"/>
            <w:tcBorders>
              <w:top w:val="single" w:color="auto" w:sz="4" w:space="0"/>
              <w:left w:val="single" w:color="auto" w:sz="4" w:space="0"/>
              <w:bottom w:val="single" w:color="auto" w:sz="4" w:space="0"/>
              <w:right w:val="single" w:color="auto" w:sz="4" w:space="0"/>
            </w:tcBorders>
            <w:shd w:val="clear" w:color="auto" w:fill="auto"/>
            <w:vAlign w:val="center"/>
          </w:tcPr>
          <w:p w14:paraId="71203F42">
            <w:pPr>
              <w:widowControl/>
              <w:spacing w:line="320" w:lineRule="exact"/>
              <w:jc w:val="center"/>
              <w:rPr>
                <w:bCs/>
                <w:color w:val="auto"/>
                <w:kern w:val="0"/>
              </w:rPr>
            </w:pPr>
            <w:r>
              <w:rPr>
                <w:bCs/>
                <w:color w:val="auto"/>
                <w:kern w:val="0"/>
              </w:rPr>
              <w:t>14.2</w:t>
            </w:r>
            <w:r>
              <w:rPr>
                <w:rFonts w:hint="eastAsia"/>
                <w:bCs/>
                <w:color w:val="auto"/>
                <w:kern w:val="0"/>
              </w:rPr>
              <w:t>4</w:t>
            </w:r>
          </w:p>
        </w:tc>
        <w:tc>
          <w:tcPr>
            <w:tcW w:w="3322" w:type="dxa"/>
            <w:tcBorders>
              <w:top w:val="single" w:color="auto" w:sz="4" w:space="0"/>
              <w:left w:val="single" w:color="auto" w:sz="4" w:space="0"/>
              <w:bottom w:val="single" w:color="auto" w:sz="4" w:space="0"/>
              <w:right w:val="single" w:color="auto" w:sz="4" w:space="0"/>
            </w:tcBorders>
            <w:shd w:val="clear" w:color="auto" w:fill="auto"/>
            <w:vAlign w:val="center"/>
          </w:tcPr>
          <w:p w14:paraId="7D27CB4C">
            <w:pPr>
              <w:widowControl/>
              <w:spacing w:line="320" w:lineRule="exact"/>
              <w:jc w:val="center"/>
              <w:rPr>
                <w:bCs/>
                <w:color w:val="auto"/>
                <w:kern w:val="0"/>
              </w:rPr>
            </w:pPr>
            <w:r>
              <w:rPr>
                <w:bCs/>
                <w:color w:val="auto"/>
                <w:kern w:val="0"/>
              </w:rPr>
              <w:t>0.4857</w:t>
            </w:r>
          </w:p>
        </w:tc>
      </w:tr>
      <w:tr w14:paraId="0D85E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960" w:type="dxa"/>
            <w:tcBorders>
              <w:top w:val="single" w:color="auto" w:sz="4" w:space="0"/>
              <w:left w:val="single" w:color="auto" w:sz="4" w:space="0"/>
              <w:bottom w:val="single" w:color="auto" w:sz="4" w:space="0"/>
              <w:right w:val="single" w:color="auto" w:sz="4" w:space="0"/>
            </w:tcBorders>
            <w:shd w:val="clear" w:color="auto" w:fill="auto"/>
            <w:vAlign w:val="center"/>
          </w:tcPr>
          <w:p w14:paraId="2A9565CC">
            <w:pPr>
              <w:widowControl/>
              <w:spacing w:line="320" w:lineRule="exact"/>
              <w:rPr>
                <w:bCs/>
                <w:color w:val="auto"/>
                <w:kern w:val="0"/>
              </w:rPr>
            </w:pPr>
            <w:r>
              <w:rPr>
                <w:bCs/>
                <w:color w:val="auto"/>
                <w:kern w:val="0"/>
              </w:rPr>
              <w:t>除氧水</w:t>
            </w:r>
          </w:p>
        </w:tc>
        <w:tc>
          <w:tcPr>
            <w:tcW w:w="2240" w:type="dxa"/>
            <w:tcBorders>
              <w:top w:val="single" w:color="auto" w:sz="4" w:space="0"/>
              <w:left w:val="single" w:color="auto" w:sz="4" w:space="0"/>
              <w:bottom w:val="single" w:color="auto" w:sz="4" w:space="0"/>
              <w:right w:val="single" w:color="auto" w:sz="4" w:space="0"/>
            </w:tcBorders>
            <w:shd w:val="clear" w:color="auto" w:fill="auto"/>
            <w:vAlign w:val="center"/>
          </w:tcPr>
          <w:p w14:paraId="406EFE61">
            <w:pPr>
              <w:widowControl/>
              <w:spacing w:line="320" w:lineRule="exact"/>
              <w:jc w:val="center"/>
              <w:rPr>
                <w:bCs/>
                <w:color w:val="auto"/>
                <w:kern w:val="0"/>
              </w:rPr>
            </w:pPr>
            <w:r>
              <w:rPr>
                <w:bCs/>
                <w:color w:val="auto"/>
                <w:kern w:val="0"/>
              </w:rPr>
              <w:t>28.4</w:t>
            </w:r>
            <w:r>
              <w:rPr>
                <w:rFonts w:hint="eastAsia"/>
                <w:bCs/>
                <w:color w:val="auto"/>
                <w:kern w:val="0"/>
              </w:rPr>
              <w:t>7</w:t>
            </w:r>
          </w:p>
        </w:tc>
        <w:tc>
          <w:tcPr>
            <w:tcW w:w="3322" w:type="dxa"/>
            <w:tcBorders>
              <w:top w:val="single" w:color="auto" w:sz="4" w:space="0"/>
              <w:left w:val="single" w:color="auto" w:sz="4" w:space="0"/>
              <w:bottom w:val="single" w:color="auto" w:sz="4" w:space="0"/>
              <w:right w:val="single" w:color="auto" w:sz="4" w:space="0"/>
            </w:tcBorders>
            <w:shd w:val="clear" w:color="auto" w:fill="auto"/>
            <w:vAlign w:val="center"/>
          </w:tcPr>
          <w:p w14:paraId="7D219CB6">
            <w:pPr>
              <w:widowControl/>
              <w:spacing w:line="320" w:lineRule="exact"/>
              <w:jc w:val="center"/>
              <w:rPr>
                <w:bCs/>
                <w:color w:val="auto"/>
                <w:kern w:val="0"/>
              </w:rPr>
            </w:pPr>
            <w:r>
              <w:rPr>
                <w:bCs/>
                <w:color w:val="auto"/>
                <w:kern w:val="0"/>
              </w:rPr>
              <w:t>0.9714</w:t>
            </w:r>
          </w:p>
        </w:tc>
      </w:tr>
      <w:tr w14:paraId="46AB5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960" w:type="dxa"/>
            <w:tcBorders>
              <w:top w:val="single" w:color="auto" w:sz="4" w:space="0"/>
              <w:left w:val="single" w:color="auto" w:sz="4" w:space="0"/>
              <w:bottom w:val="single" w:color="auto" w:sz="4" w:space="0"/>
              <w:right w:val="single" w:color="auto" w:sz="4" w:space="0"/>
            </w:tcBorders>
            <w:shd w:val="clear" w:color="auto" w:fill="auto"/>
            <w:vAlign w:val="center"/>
          </w:tcPr>
          <w:p w14:paraId="659FD1B1">
            <w:pPr>
              <w:widowControl/>
              <w:spacing w:line="320" w:lineRule="exact"/>
              <w:rPr>
                <w:bCs/>
                <w:color w:val="auto"/>
                <w:kern w:val="0"/>
              </w:rPr>
            </w:pPr>
            <w:r>
              <w:rPr>
                <w:bCs/>
                <w:color w:val="auto"/>
                <w:kern w:val="0"/>
              </w:rPr>
              <w:t>电石</w:t>
            </w:r>
          </w:p>
        </w:tc>
        <w:tc>
          <w:tcPr>
            <w:tcW w:w="2240" w:type="dxa"/>
            <w:tcBorders>
              <w:top w:val="single" w:color="auto" w:sz="4" w:space="0"/>
              <w:left w:val="single" w:color="auto" w:sz="4" w:space="0"/>
              <w:bottom w:val="single" w:color="auto" w:sz="4" w:space="0"/>
              <w:right w:val="single" w:color="auto" w:sz="4" w:space="0"/>
            </w:tcBorders>
            <w:shd w:val="clear" w:color="auto" w:fill="auto"/>
            <w:vAlign w:val="center"/>
          </w:tcPr>
          <w:p w14:paraId="3F3C5768">
            <w:pPr>
              <w:widowControl/>
              <w:spacing w:line="320" w:lineRule="exact"/>
              <w:jc w:val="center"/>
              <w:rPr>
                <w:bCs/>
                <w:color w:val="auto"/>
                <w:kern w:val="0"/>
              </w:rPr>
            </w:pPr>
            <w:r>
              <w:rPr>
                <w:bCs/>
                <w:color w:val="auto"/>
                <w:kern w:val="0"/>
              </w:rPr>
              <w:t>60</w:t>
            </w:r>
            <w:r>
              <w:rPr>
                <w:rFonts w:hint="eastAsia"/>
                <w:bCs/>
                <w:color w:val="auto"/>
                <w:kern w:val="0"/>
                <w:lang w:eastAsia="zh-CN"/>
              </w:rPr>
              <w:t>.</w:t>
            </w:r>
            <w:r>
              <w:rPr>
                <w:bCs/>
                <w:color w:val="auto"/>
                <w:kern w:val="0"/>
              </w:rPr>
              <w:t>92</w:t>
            </w:r>
          </w:p>
        </w:tc>
        <w:tc>
          <w:tcPr>
            <w:tcW w:w="3322" w:type="dxa"/>
            <w:tcBorders>
              <w:top w:val="single" w:color="auto" w:sz="4" w:space="0"/>
              <w:left w:val="single" w:color="auto" w:sz="4" w:space="0"/>
              <w:bottom w:val="single" w:color="auto" w:sz="4" w:space="0"/>
              <w:right w:val="single" w:color="auto" w:sz="4" w:space="0"/>
            </w:tcBorders>
            <w:shd w:val="clear" w:color="auto" w:fill="auto"/>
            <w:vAlign w:val="center"/>
          </w:tcPr>
          <w:p w14:paraId="08F1FE09">
            <w:pPr>
              <w:widowControl/>
              <w:spacing w:line="320" w:lineRule="exact"/>
              <w:jc w:val="center"/>
              <w:rPr>
                <w:bCs/>
                <w:color w:val="auto"/>
                <w:kern w:val="0"/>
              </w:rPr>
            </w:pPr>
            <w:r>
              <w:rPr>
                <w:bCs/>
                <w:color w:val="auto"/>
                <w:kern w:val="0"/>
              </w:rPr>
              <w:t>2</w:t>
            </w:r>
            <w:r>
              <w:rPr>
                <w:rFonts w:hint="eastAsia"/>
                <w:bCs/>
                <w:color w:val="auto"/>
                <w:kern w:val="0"/>
                <w:lang w:eastAsia="zh-CN"/>
              </w:rPr>
              <w:t>.</w:t>
            </w:r>
            <w:r>
              <w:rPr>
                <w:bCs/>
                <w:color w:val="auto"/>
                <w:kern w:val="0"/>
              </w:rPr>
              <w:t>0786</w:t>
            </w:r>
          </w:p>
        </w:tc>
      </w:tr>
      <w:tr w14:paraId="7932A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8522" w:type="dxa"/>
            <w:gridSpan w:val="3"/>
            <w:tcBorders>
              <w:top w:val="single" w:color="auto" w:sz="4" w:space="0"/>
              <w:left w:val="single" w:color="auto" w:sz="4" w:space="0"/>
              <w:right w:val="single" w:color="auto" w:sz="4" w:space="0"/>
            </w:tcBorders>
            <w:shd w:val="clear" w:color="auto" w:fill="auto"/>
            <w:vAlign w:val="center"/>
          </w:tcPr>
          <w:p w14:paraId="02079D85">
            <w:pPr>
              <w:widowControl/>
              <w:spacing w:line="320" w:lineRule="exact"/>
              <w:ind w:left="420" w:hanging="420" w:hangingChars="200"/>
              <w:jc w:val="left"/>
              <w:rPr>
                <w:bCs/>
                <w:color w:val="auto"/>
                <w:kern w:val="0"/>
              </w:rPr>
            </w:pPr>
            <w:r>
              <w:rPr>
                <w:rFonts w:hint="eastAsia"/>
                <w:bCs/>
                <w:color w:val="auto"/>
                <w:kern w:val="0"/>
              </w:rPr>
              <w:t>注：单位耗能工质耗能量和折标准煤系数是按照电厂发电标准煤耗为0.404 kgce/（kW·h）计算的折标准煤系数。实际计算时，推荐考虑上年电厂发电标准煤耗和制备耗能工质设备效率等影响因素，对折标准煤系数进行修正。</w:t>
            </w:r>
          </w:p>
        </w:tc>
      </w:tr>
    </w:tbl>
    <w:p w14:paraId="4B48B95F">
      <w:pPr>
        <w:pStyle w:val="40"/>
        <w:outlineLvl w:val="9"/>
        <w:rPr>
          <w:color w:val="auto"/>
        </w:rPr>
      </w:pPr>
      <w:bookmarkStart w:id="93" w:name="_Toc168053925"/>
      <w:bookmarkStart w:id="94" w:name="_Toc167983295"/>
      <w:bookmarkStart w:id="95" w:name="_Toc167982639"/>
      <w:r>
        <w:rPr>
          <w:color w:val="auto"/>
        </w:rPr>
        <w:t>表</w:t>
      </w:r>
      <w:r>
        <w:rPr>
          <w:rFonts w:hint="eastAsia"/>
          <w:color w:val="auto"/>
        </w:rPr>
        <w:t>C</w:t>
      </w:r>
      <w:r>
        <w:rPr>
          <w:color w:val="auto"/>
        </w:rPr>
        <w:t>.2 气态工质</w:t>
      </w:r>
      <w:bookmarkEnd w:id="93"/>
      <w:bookmarkEnd w:id="94"/>
      <w:bookmarkEnd w:id="95"/>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60"/>
        <w:gridCol w:w="2240"/>
        <w:gridCol w:w="3322"/>
      </w:tblGrid>
      <w:tr w14:paraId="5E9F2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960" w:type="dxa"/>
            <w:tcBorders>
              <w:top w:val="single" w:color="auto" w:sz="4" w:space="0"/>
              <w:left w:val="single" w:color="auto" w:sz="4" w:space="0"/>
              <w:bottom w:val="single" w:color="auto" w:sz="4" w:space="0"/>
              <w:right w:val="single" w:color="auto" w:sz="4" w:space="0"/>
            </w:tcBorders>
            <w:shd w:val="clear" w:color="auto" w:fill="auto"/>
            <w:vAlign w:val="center"/>
          </w:tcPr>
          <w:p w14:paraId="3FFC44AF">
            <w:pPr>
              <w:widowControl/>
              <w:spacing w:line="320" w:lineRule="exact"/>
              <w:jc w:val="center"/>
              <w:rPr>
                <w:bCs/>
                <w:color w:val="auto"/>
                <w:kern w:val="0"/>
              </w:rPr>
            </w:pPr>
            <w:r>
              <w:rPr>
                <w:bCs/>
                <w:color w:val="auto"/>
                <w:kern w:val="0"/>
              </w:rPr>
              <w:t>工质，1</w:t>
            </w:r>
            <w:r>
              <w:rPr>
                <w:bCs/>
                <w:color w:val="auto"/>
                <w:kern w:val="0"/>
                <w:sz w:val="18"/>
                <w:szCs w:val="18"/>
              </w:rPr>
              <w:t xml:space="preserve"> m</w:t>
            </w:r>
            <w:r>
              <w:rPr>
                <w:color w:val="auto"/>
                <w:kern w:val="0"/>
                <w:sz w:val="18"/>
                <w:vertAlign w:val="superscript"/>
              </w:rPr>
              <w:t>3</w:t>
            </w:r>
          </w:p>
        </w:tc>
        <w:tc>
          <w:tcPr>
            <w:tcW w:w="2240" w:type="dxa"/>
            <w:tcBorders>
              <w:top w:val="single" w:color="auto" w:sz="4" w:space="0"/>
              <w:left w:val="single" w:color="auto" w:sz="4" w:space="0"/>
              <w:bottom w:val="single" w:color="auto" w:sz="4" w:space="0"/>
              <w:right w:val="single" w:color="auto" w:sz="4" w:space="0"/>
            </w:tcBorders>
            <w:shd w:val="clear" w:color="auto" w:fill="auto"/>
            <w:vAlign w:val="center"/>
          </w:tcPr>
          <w:p w14:paraId="4BE3B8E0">
            <w:pPr>
              <w:widowControl/>
              <w:spacing w:line="320" w:lineRule="exact"/>
              <w:jc w:val="center"/>
              <w:rPr>
                <w:bCs/>
                <w:color w:val="auto"/>
                <w:kern w:val="0"/>
              </w:rPr>
            </w:pPr>
            <w:r>
              <w:rPr>
                <w:bCs/>
                <w:color w:val="auto"/>
                <w:kern w:val="0"/>
              </w:rPr>
              <w:t>耗能量，MJ</w:t>
            </w:r>
          </w:p>
        </w:tc>
        <w:tc>
          <w:tcPr>
            <w:tcW w:w="3322" w:type="dxa"/>
            <w:tcBorders>
              <w:top w:val="single" w:color="auto" w:sz="4" w:space="0"/>
              <w:left w:val="single" w:color="auto" w:sz="4" w:space="0"/>
              <w:bottom w:val="single" w:color="auto" w:sz="4" w:space="0"/>
              <w:right w:val="single" w:color="auto" w:sz="4" w:space="0"/>
            </w:tcBorders>
            <w:shd w:val="clear" w:color="auto" w:fill="auto"/>
            <w:vAlign w:val="center"/>
          </w:tcPr>
          <w:p w14:paraId="7A385844">
            <w:pPr>
              <w:widowControl/>
              <w:spacing w:line="320" w:lineRule="exact"/>
              <w:jc w:val="center"/>
              <w:rPr>
                <w:bCs/>
                <w:color w:val="auto"/>
                <w:kern w:val="0"/>
              </w:rPr>
            </w:pPr>
            <w:r>
              <w:rPr>
                <w:bCs/>
                <w:color w:val="auto"/>
                <w:kern w:val="0"/>
              </w:rPr>
              <w:t>折标准煤系数，kgce</w:t>
            </w:r>
          </w:p>
        </w:tc>
      </w:tr>
      <w:tr w14:paraId="76BC5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960" w:type="dxa"/>
            <w:tcBorders>
              <w:top w:val="single" w:color="auto" w:sz="4" w:space="0"/>
              <w:left w:val="single" w:color="auto" w:sz="4" w:space="0"/>
              <w:bottom w:val="single" w:color="auto" w:sz="4" w:space="0"/>
              <w:right w:val="single" w:color="auto" w:sz="4" w:space="0"/>
            </w:tcBorders>
            <w:shd w:val="clear" w:color="auto" w:fill="auto"/>
            <w:vAlign w:val="center"/>
          </w:tcPr>
          <w:p w14:paraId="19F42969">
            <w:pPr>
              <w:widowControl/>
              <w:spacing w:line="320" w:lineRule="exact"/>
              <w:rPr>
                <w:bCs/>
                <w:color w:val="auto"/>
                <w:kern w:val="0"/>
              </w:rPr>
            </w:pPr>
            <w:r>
              <w:rPr>
                <w:bCs/>
                <w:color w:val="auto"/>
                <w:kern w:val="0"/>
              </w:rPr>
              <w:t>压缩空气</w:t>
            </w:r>
          </w:p>
        </w:tc>
        <w:tc>
          <w:tcPr>
            <w:tcW w:w="2240" w:type="dxa"/>
            <w:tcBorders>
              <w:top w:val="single" w:color="auto" w:sz="4" w:space="0"/>
              <w:left w:val="single" w:color="auto" w:sz="4" w:space="0"/>
              <w:bottom w:val="single" w:color="auto" w:sz="4" w:space="0"/>
              <w:right w:val="single" w:color="auto" w:sz="4" w:space="0"/>
            </w:tcBorders>
            <w:shd w:val="clear" w:color="auto" w:fill="auto"/>
            <w:vAlign w:val="center"/>
          </w:tcPr>
          <w:p w14:paraId="46E56C86">
            <w:pPr>
              <w:widowControl/>
              <w:spacing w:line="320" w:lineRule="exact"/>
              <w:jc w:val="center"/>
              <w:rPr>
                <w:bCs/>
                <w:color w:val="auto"/>
                <w:kern w:val="0"/>
              </w:rPr>
            </w:pPr>
            <w:r>
              <w:rPr>
                <w:bCs/>
                <w:color w:val="auto"/>
                <w:kern w:val="0"/>
              </w:rPr>
              <w:t>1.17</w:t>
            </w:r>
          </w:p>
        </w:tc>
        <w:tc>
          <w:tcPr>
            <w:tcW w:w="3322" w:type="dxa"/>
            <w:tcBorders>
              <w:top w:val="single" w:color="auto" w:sz="4" w:space="0"/>
              <w:left w:val="single" w:color="auto" w:sz="4" w:space="0"/>
              <w:bottom w:val="single" w:color="auto" w:sz="4" w:space="0"/>
              <w:right w:val="single" w:color="auto" w:sz="4" w:space="0"/>
            </w:tcBorders>
            <w:shd w:val="clear" w:color="auto" w:fill="auto"/>
            <w:vAlign w:val="center"/>
          </w:tcPr>
          <w:p w14:paraId="6A81202D">
            <w:pPr>
              <w:widowControl/>
              <w:spacing w:line="320" w:lineRule="exact"/>
              <w:jc w:val="center"/>
              <w:rPr>
                <w:bCs/>
                <w:color w:val="auto"/>
                <w:kern w:val="0"/>
              </w:rPr>
            </w:pPr>
            <w:r>
              <w:rPr>
                <w:bCs/>
                <w:color w:val="auto"/>
                <w:kern w:val="0"/>
              </w:rPr>
              <w:t>0.0400</w:t>
            </w:r>
          </w:p>
        </w:tc>
      </w:tr>
      <w:tr w14:paraId="5B7E9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960" w:type="dxa"/>
            <w:tcBorders>
              <w:top w:val="single" w:color="auto" w:sz="4" w:space="0"/>
              <w:left w:val="single" w:color="auto" w:sz="4" w:space="0"/>
              <w:bottom w:val="single" w:color="auto" w:sz="4" w:space="0"/>
              <w:right w:val="single" w:color="auto" w:sz="4" w:space="0"/>
            </w:tcBorders>
            <w:shd w:val="clear" w:color="auto" w:fill="auto"/>
            <w:vAlign w:val="center"/>
          </w:tcPr>
          <w:p w14:paraId="4231FA1F">
            <w:pPr>
              <w:widowControl/>
              <w:spacing w:line="320" w:lineRule="exact"/>
              <w:rPr>
                <w:bCs/>
                <w:color w:val="auto"/>
                <w:kern w:val="0"/>
              </w:rPr>
            </w:pPr>
            <w:r>
              <w:rPr>
                <w:bCs/>
                <w:color w:val="auto"/>
                <w:kern w:val="0"/>
              </w:rPr>
              <w:t>氧气</w:t>
            </w:r>
          </w:p>
        </w:tc>
        <w:tc>
          <w:tcPr>
            <w:tcW w:w="2240" w:type="dxa"/>
            <w:tcBorders>
              <w:top w:val="single" w:color="auto" w:sz="4" w:space="0"/>
              <w:left w:val="single" w:color="auto" w:sz="4" w:space="0"/>
              <w:bottom w:val="single" w:color="auto" w:sz="4" w:space="0"/>
              <w:right w:val="single" w:color="auto" w:sz="4" w:space="0"/>
            </w:tcBorders>
            <w:shd w:val="clear" w:color="auto" w:fill="auto"/>
            <w:vAlign w:val="center"/>
          </w:tcPr>
          <w:p w14:paraId="1255554D">
            <w:pPr>
              <w:widowControl/>
              <w:spacing w:line="320" w:lineRule="exact"/>
              <w:jc w:val="center"/>
              <w:rPr>
                <w:bCs/>
                <w:color w:val="auto"/>
                <w:kern w:val="0"/>
              </w:rPr>
            </w:pPr>
            <w:r>
              <w:rPr>
                <w:bCs/>
                <w:color w:val="auto"/>
                <w:kern w:val="0"/>
              </w:rPr>
              <w:t>11.72</w:t>
            </w:r>
          </w:p>
        </w:tc>
        <w:tc>
          <w:tcPr>
            <w:tcW w:w="3322" w:type="dxa"/>
            <w:tcBorders>
              <w:top w:val="single" w:color="auto" w:sz="4" w:space="0"/>
              <w:left w:val="single" w:color="auto" w:sz="4" w:space="0"/>
              <w:bottom w:val="single" w:color="auto" w:sz="4" w:space="0"/>
              <w:right w:val="single" w:color="auto" w:sz="4" w:space="0"/>
            </w:tcBorders>
            <w:shd w:val="clear" w:color="auto" w:fill="auto"/>
            <w:vAlign w:val="center"/>
          </w:tcPr>
          <w:p w14:paraId="6EB61CDF">
            <w:pPr>
              <w:widowControl/>
              <w:spacing w:line="320" w:lineRule="exact"/>
              <w:jc w:val="center"/>
              <w:rPr>
                <w:bCs/>
                <w:color w:val="auto"/>
                <w:kern w:val="0"/>
              </w:rPr>
            </w:pPr>
            <w:r>
              <w:rPr>
                <w:bCs/>
                <w:color w:val="auto"/>
                <w:kern w:val="0"/>
              </w:rPr>
              <w:t>0.4000</w:t>
            </w:r>
          </w:p>
        </w:tc>
      </w:tr>
      <w:tr w14:paraId="12656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960" w:type="dxa"/>
            <w:tcBorders>
              <w:top w:val="single" w:color="auto" w:sz="4" w:space="0"/>
              <w:left w:val="single" w:color="auto" w:sz="4" w:space="0"/>
              <w:bottom w:val="single" w:color="auto" w:sz="4" w:space="0"/>
              <w:right w:val="single" w:color="auto" w:sz="4" w:space="0"/>
            </w:tcBorders>
            <w:shd w:val="clear" w:color="auto" w:fill="auto"/>
            <w:vAlign w:val="center"/>
          </w:tcPr>
          <w:p w14:paraId="2253AC8A">
            <w:pPr>
              <w:widowControl/>
              <w:spacing w:line="320" w:lineRule="exact"/>
              <w:rPr>
                <w:bCs/>
                <w:color w:val="auto"/>
                <w:kern w:val="0"/>
              </w:rPr>
            </w:pPr>
            <w:r>
              <w:rPr>
                <w:bCs/>
                <w:color w:val="auto"/>
                <w:kern w:val="0"/>
              </w:rPr>
              <w:t>氮气(做副产品时)</w:t>
            </w:r>
          </w:p>
        </w:tc>
        <w:tc>
          <w:tcPr>
            <w:tcW w:w="2240" w:type="dxa"/>
            <w:tcBorders>
              <w:top w:val="single" w:color="auto" w:sz="4" w:space="0"/>
              <w:left w:val="single" w:color="auto" w:sz="4" w:space="0"/>
              <w:bottom w:val="single" w:color="auto" w:sz="4" w:space="0"/>
              <w:right w:val="single" w:color="auto" w:sz="4" w:space="0"/>
            </w:tcBorders>
            <w:shd w:val="clear" w:color="auto" w:fill="auto"/>
            <w:vAlign w:val="center"/>
          </w:tcPr>
          <w:p w14:paraId="7F0EF775">
            <w:pPr>
              <w:widowControl/>
              <w:spacing w:line="320" w:lineRule="exact"/>
              <w:jc w:val="center"/>
              <w:rPr>
                <w:bCs/>
                <w:color w:val="auto"/>
                <w:kern w:val="0"/>
              </w:rPr>
            </w:pPr>
            <w:r>
              <w:rPr>
                <w:bCs/>
                <w:color w:val="auto"/>
                <w:kern w:val="0"/>
              </w:rPr>
              <w:t>11.72</w:t>
            </w:r>
          </w:p>
        </w:tc>
        <w:tc>
          <w:tcPr>
            <w:tcW w:w="3322" w:type="dxa"/>
            <w:tcBorders>
              <w:top w:val="single" w:color="auto" w:sz="4" w:space="0"/>
              <w:left w:val="single" w:color="auto" w:sz="4" w:space="0"/>
              <w:bottom w:val="single" w:color="auto" w:sz="4" w:space="0"/>
              <w:right w:val="single" w:color="auto" w:sz="4" w:space="0"/>
            </w:tcBorders>
            <w:shd w:val="clear" w:color="auto" w:fill="auto"/>
            <w:vAlign w:val="center"/>
          </w:tcPr>
          <w:p w14:paraId="7C382EB9">
            <w:pPr>
              <w:widowControl/>
              <w:spacing w:line="320" w:lineRule="exact"/>
              <w:jc w:val="center"/>
              <w:rPr>
                <w:bCs/>
                <w:color w:val="auto"/>
                <w:kern w:val="0"/>
              </w:rPr>
            </w:pPr>
            <w:r>
              <w:rPr>
                <w:bCs/>
                <w:color w:val="auto"/>
                <w:kern w:val="0"/>
              </w:rPr>
              <w:t>0.4000</w:t>
            </w:r>
          </w:p>
        </w:tc>
      </w:tr>
      <w:tr w14:paraId="03458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960" w:type="dxa"/>
            <w:tcBorders>
              <w:top w:val="single" w:color="auto" w:sz="4" w:space="0"/>
              <w:left w:val="single" w:color="auto" w:sz="4" w:space="0"/>
              <w:bottom w:val="single" w:color="auto" w:sz="4" w:space="0"/>
              <w:right w:val="single" w:color="auto" w:sz="4" w:space="0"/>
            </w:tcBorders>
            <w:shd w:val="clear" w:color="auto" w:fill="auto"/>
            <w:vAlign w:val="center"/>
          </w:tcPr>
          <w:p w14:paraId="5808658C">
            <w:pPr>
              <w:widowControl/>
              <w:spacing w:line="320" w:lineRule="exact"/>
              <w:rPr>
                <w:bCs/>
                <w:color w:val="auto"/>
                <w:kern w:val="0"/>
              </w:rPr>
            </w:pPr>
            <w:r>
              <w:rPr>
                <w:bCs/>
                <w:color w:val="auto"/>
                <w:kern w:val="0"/>
              </w:rPr>
              <w:t>氮气(做主产品时)</w:t>
            </w:r>
          </w:p>
        </w:tc>
        <w:tc>
          <w:tcPr>
            <w:tcW w:w="2240" w:type="dxa"/>
            <w:tcBorders>
              <w:top w:val="single" w:color="auto" w:sz="4" w:space="0"/>
              <w:left w:val="single" w:color="auto" w:sz="4" w:space="0"/>
              <w:bottom w:val="single" w:color="auto" w:sz="4" w:space="0"/>
              <w:right w:val="single" w:color="auto" w:sz="4" w:space="0"/>
            </w:tcBorders>
            <w:shd w:val="clear" w:color="auto" w:fill="auto"/>
            <w:vAlign w:val="center"/>
          </w:tcPr>
          <w:p w14:paraId="552C871F">
            <w:pPr>
              <w:widowControl/>
              <w:spacing w:line="320" w:lineRule="exact"/>
              <w:jc w:val="center"/>
              <w:rPr>
                <w:bCs/>
                <w:color w:val="auto"/>
                <w:kern w:val="0"/>
              </w:rPr>
            </w:pPr>
            <w:r>
              <w:rPr>
                <w:bCs/>
                <w:color w:val="auto"/>
                <w:kern w:val="0"/>
              </w:rPr>
              <w:t>19.6</w:t>
            </w:r>
            <w:r>
              <w:rPr>
                <w:rFonts w:hint="eastAsia"/>
                <w:bCs/>
                <w:color w:val="auto"/>
                <w:kern w:val="0"/>
              </w:rPr>
              <w:t>8</w:t>
            </w:r>
          </w:p>
        </w:tc>
        <w:tc>
          <w:tcPr>
            <w:tcW w:w="3322" w:type="dxa"/>
            <w:tcBorders>
              <w:top w:val="single" w:color="auto" w:sz="4" w:space="0"/>
              <w:left w:val="single" w:color="auto" w:sz="4" w:space="0"/>
              <w:bottom w:val="single" w:color="auto" w:sz="4" w:space="0"/>
              <w:right w:val="single" w:color="auto" w:sz="4" w:space="0"/>
            </w:tcBorders>
            <w:shd w:val="clear" w:color="auto" w:fill="auto"/>
            <w:vAlign w:val="center"/>
          </w:tcPr>
          <w:p w14:paraId="2848933E">
            <w:pPr>
              <w:widowControl/>
              <w:spacing w:line="320" w:lineRule="exact"/>
              <w:jc w:val="center"/>
              <w:rPr>
                <w:bCs/>
                <w:color w:val="auto"/>
                <w:kern w:val="0"/>
              </w:rPr>
            </w:pPr>
            <w:r>
              <w:rPr>
                <w:bCs/>
                <w:color w:val="auto"/>
                <w:kern w:val="0"/>
              </w:rPr>
              <w:t>0.6714</w:t>
            </w:r>
          </w:p>
        </w:tc>
      </w:tr>
      <w:tr w14:paraId="69C94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960" w:type="dxa"/>
            <w:tcBorders>
              <w:top w:val="single" w:color="auto" w:sz="4" w:space="0"/>
              <w:left w:val="single" w:color="auto" w:sz="4" w:space="0"/>
              <w:bottom w:val="single" w:color="auto" w:sz="4" w:space="0"/>
              <w:right w:val="single" w:color="auto" w:sz="4" w:space="0"/>
            </w:tcBorders>
            <w:shd w:val="clear" w:color="auto" w:fill="auto"/>
            <w:vAlign w:val="center"/>
          </w:tcPr>
          <w:p w14:paraId="1DB2A3F4">
            <w:pPr>
              <w:widowControl/>
              <w:spacing w:line="320" w:lineRule="exact"/>
              <w:rPr>
                <w:bCs/>
                <w:color w:val="auto"/>
                <w:kern w:val="0"/>
              </w:rPr>
            </w:pPr>
            <w:r>
              <w:rPr>
                <w:bCs/>
                <w:color w:val="auto"/>
                <w:kern w:val="0"/>
              </w:rPr>
              <w:t>二氧化碳气</w:t>
            </w:r>
          </w:p>
        </w:tc>
        <w:tc>
          <w:tcPr>
            <w:tcW w:w="2240" w:type="dxa"/>
            <w:tcBorders>
              <w:top w:val="single" w:color="auto" w:sz="4" w:space="0"/>
              <w:left w:val="single" w:color="auto" w:sz="4" w:space="0"/>
              <w:bottom w:val="single" w:color="auto" w:sz="4" w:space="0"/>
              <w:right w:val="single" w:color="auto" w:sz="4" w:space="0"/>
            </w:tcBorders>
            <w:shd w:val="clear" w:color="auto" w:fill="auto"/>
            <w:vAlign w:val="center"/>
          </w:tcPr>
          <w:p w14:paraId="694876D8">
            <w:pPr>
              <w:widowControl/>
              <w:spacing w:line="320" w:lineRule="exact"/>
              <w:jc w:val="center"/>
              <w:rPr>
                <w:bCs/>
                <w:color w:val="auto"/>
                <w:kern w:val="0"/>
              </w:rPr>
            </w:pPr>
            <w:r>
              <w:rPr>
                <w:bCs/>
                <w:color w:val="auto"/>
                <w:kern w:val="0"/>
              </w:rPr>
              <w:t>6.28</w:t>
            </w:r>
          </w:p>
        </w:tc>
        <w:tc>
          <w:tcPr>
            <w:tcW w:w="3322" w:type="dxa"/>
            <w:tcBorders>
              <w:top w:val="single" w:color="auto" w:sz="4" w:space="0"/>
              <w:left w:val="single" w:color="auto" w:sz="4" w:space="0"/>
              <w:bottom w:val="single" w:color="auto" w:sz="4" w:space="0"/>
              <w:right w:val="single" w:color="auto" w:sz="4" w:space="0"/>
            </w:tcBorders>
            <w:shd w:val="clear" w:color="auto" w:fill="auto"/>
            <w:vAlign w:val="center"/>
          </w:tcPr>
          <w:p w14:paraId="1C043DF3">
            <w:pPr>
              <w:widowControl/>
              <w:spacing w:line="320" w:lineRule="exact"/>
              <w:jc w:val="center"/>
              <w:rPr>
                <w:bCs/>
                <w:color w:val="auto"/>
                <w:kern w:val="0"/>
              </w:rPr>
            </w:pPr>
            <w:r>
              <w:rPr>
                <w:bCs/>
                <w:color w:val="auto"/>
                <w:kern w:val="0"/>
              </w:rPr>
              <w:t>0.2143</w:t>
            </w:r>
          </w:p>
        </w:tc>
      </w:tr>
      <w:tr w14:paraId="2188E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960" w:type="dxa"/>
            <w:tcBorders>
              <w:top w:val="single" w:color="auto" w:sz="4" w:space="0"/>
              <w:left w:val="single" w:color="auto" w:sz="4" w:space="0"/>
              <w:bottom w:val="single" w:color="auto" w:sz="4" w:space="0"/>
              <w:right w:val="single" w:color="auto" w:sz="4" w:space="0"/>
            </w:tcBorders>
            <w:shd w:val="clear" w:color="auto" w:fill="auto"/>
            <w:vAlign w:val="center"/>
          </w:tcPr>
          <w:p w14:paraId="68F4340F">
            <w:pPr>
              <w:widowControl/>
              <w:spacing w:line="320" w:lineRule="exact"/>
              <w:rPr>
                <w:bCs/>
                <w:color w:val="auto"/>
                <w:kern w:val="0"/>
              </w:rPr>
            </w:pPr>
            <w:r>
              <w:rPr>
                <w:bCs/>
                <w:color w:val="auto"/>
                <w:kern w:val="0"/>
              </w:rPr>
              <w:t>乙炔</w:t>
            </w:r>
          </w:p>
        </w:tc>
        <w:tc>
          <w:tcPr>
            <w:tcW w:w="2240" w:type="dxa"/>
            <w:tcBorders>
              <w:top w:val="single" w:color="auto" w:sz="4" w:space="0"/>
              <w:left w:val="single" w:color="auto" w:sz="4" w:space="0"/>
              <w:bottom w:val="single" w:color="auto" w:sz="4" w:space="0"/>
              <w:right w:val="single" w:color="auto" w:sz="4" w:space="0"/>
            </w:tcBorders>
            <w:shd w:val="clear" w:color="auto" w:fill="auto"/>
            <w:vAlign w:val="center"/>
          </w:tcPr>
          <w:p w14:paraId="7B7E1E67">
            <w:pPr>
              <w:widowControl/>
              <w:spacing w:line="320" w:lineRule="exact"/>
              <w:jc w:val="center"/>
              <w:rPr>
                <w:bCs/>
                <w:color w:val="auto"/>
                <w:kern w:val="0"/>
              </w:rPr>
            </w:pPr>
            <w:r>
              <w:rPr>
                <w:bCs/>
                <w:color w:val="auto"/>
                <w:kern w:val="0"/>
              </w:rPr>
              <w:t>243.</w:t>
            </w:r>
            <w:r>
              <w:rPr>
                <w:rFonts w:hint="eastAsia"/>
                <w:bCs/>
                <w:color w:val="auto"/>
                <w:kern w:val="0"/>
              </w:rPr>
              <w:t>76</w:t>
            </w:r>
          </w:p>
        </w:tc>
        <w:tc>
          <w:tcPr>
            <w:tcW w:w="3322" w:type="dxa"/>
            <w:tcBorders>
              <w:top w:val="single" w:color="auto" w:sz="4" w:space="0"/>
              <w:left w:val="single" w:color="auto" w:sz="4" w:space="0"/>
              <w:bottom w:val="single" w:color="auto" w:sz="4" w:space="0"/>
              <w:right w:val="single" w:color="auto" w:sz="4" w:space="0"/>
            </w:tcBorders>
            <w:shd w:val="clear" w:color="auto" w:fill="auto"/>
            <w:vAlign w:val="center"/>
          </w:tcPr>
          <w:p w14:paraId="30615865">
            <w:pPr>
              <w:widowControl/>
              <w:spacing w:line="320" w:lineRule="exact"/>
              <w:jc w:val="center"/>
              <w:rPr>
                <w:bCs/>
                <w:color w:val="auto"/>
                <w:kern w:val="0"/>
              </w:rPr>
            </w:pPr>
            <w:r>
              <w:rPr>
                <w:bCs/>
                <w:color w:val="auto"/>
                <w:kern w:val="0"/>
              </w:rPr>
              <w:t>8.3143</w:t>
            </w:r>
          </w:p>
        </w:tc>
      </w:tr>
    </w:tbl>
    <w:p w14:paraId="197DBBDC">
      <w:pPr>
        <w:widowControl/>
        <w:autoSpaceDE w:val="0"/>
        <w:autoSpaceDN w:val="0"/>
        <w:spacing w:line="360" w:lineRule="auto"/>
        <w:rPr>
          <w:rFonts w:hint="default" w:eastAsia="宋体"/>
          <w:color w:val="auto"/>
          <w:lang w:val="en-US" w:eastAsia="zh-CN"/>
        </w:rPr>
      </w:pPr>
      <w:r>
        <w:rPr>
          <w:rFonts w:hint="eastAsia"/>
          <w:color w:val="auto"/>
        </w:rPr>
        <w:t xml:space="preserve">注：表 </w:t>
      </w:r>
      <w:r>
        <w:rPr>
          <w:rFonts w:hint="eastAsia"/>
          <w:color w:val="auto"/>
          <w:lang w:val="en-US" w:eastAsia="zh-CN"/>
        </w:rPr>
        <w:t>C</w:t>
      </w:r>
      <w:r>
        <w:rPr>
          <w:rFonts w:hint="eastAsia"/>
          <w:color w:val="auto"/>
        </w:rPr>
        <w:t xml:space="preserve">.1~ 表 </w:t>
      </w:r>
      <w:r>
        <w:rPr>
          <w:rFonts w:hint="eastAsia"/>
          <w:color w:val="auto"/>
          <w:lang w:val="en-US" w:eastAsia="zh-CN"/>
        </w:rPr>
        <w:t>C</w:t>
      </w:r>
      <w:r>
        <w:rPr>
          <w:rFonts w:hint="eastAsia"/>
          <w:color w:val="auto"/>
        </w:rPr>
        <w:t>.</w:t>
      </w:r>
      <w:r>
        <w:rPr>
          <w:rFonts w:hint="eastAsia"/>
          <w:color w:val="auto"/>
          <w:lang w:val="en-US" w:eastAsia="zh-CN"/>
        </w:rPr>
        <w:t>2</w:t>
      </w:r>
      <w:r>
        <w:rPr>
          <w:rFonts w:hint="eastAsia"/>
          <w:color w:val="auto"/>
        </w:rPr>
        <w:t xml:space="preserve"> 数据参照 GB/T 2589-2020 附录 </w:t>
      </w:r>
      <w:r>
        <w:rPr>
          <w:rFonts w:hint="eastAsia"/>
          <w:color w:val="auto"/>
          <w:lang w:val="en-US" w:eastAsia="zh-CN"/>
        </w:rPr>
        <w:t>A。</w:t>
      </w:r>
    </w:p>
    <w:sectPr>
      <w:footerReference r:id="rId11" w:type="default"/>
      <w:pgSz w:w="11906" w:h="16838"/>
      <w:pgMar w:top="1928" w:right="1134" w:bottom="1134" w:left="1134" w:header="1418" w:footer="1134" w:gutter="284"/>
      <w:pgNumType w:start="1"/>
      <w:cols w:space="0" w:num="1"/>
      <w:formProt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52F33">
    <w:pPr>
      <w:pStyle w:val="9"/>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48406">
    <w:pPr>
      <w:pStyle w:val="9"/>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55043">
    <w:pPr>
      <w:pStyle w:val="26"/>
    </w:pPr>
    <w:r>
      <w:fldChar w:fldCharType="begin"/>
    </w:r>
    <w:r>
      <w:instrText xml:space="preserve">PAGE   \* MERGEFORMAT</w:instrText>
    </w:r>
    <w:r>
      <w:fldChar w:fldCharType="separate"/>
    </w:r>
    <w:r>
      <w:rPr>
        <w:lang w:val="zh-CN"/>
      </w:rPr>
      <w:t>I</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CCA6C">
    <w:pPr>
      <w:pStyle w:val="26"/>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ED96CC">
                          <w:pPr>
                            <w:pStyle w:val="26"/>
                          </w:pPr>
                          <w:r>
                            <w:fldChar w:fldCharType="begin"/>
                          </w:r>
                          <w:r>
                            <w:instrText xml:space="preserve">PAGE   \* MERGEFORMAT</w:instrText>
                          </w:r>
                          <w:r>
                            <w:fldChar w:fldCharType="separate"/>
                          </w:r>
                          <w:r>
                            <w:rPr>
                              <w:lang w:val="zh-CN"/>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43ED96CC">
                    <w:pPr>
                      <w:pStyle w:val="26"/>
                    </w:pPr>
                    <w:r>
                      <w:fldChar w:fldCharType="begin"/>
                    </w:r>
                    <w:r>
                      <w:instrText xml:space="preserve">PAGE   \* MERGEFORMAT</w:instrText>
                    </w:r>
                    <w:r>
                      <w:fldChar w:fldCharType="separate"/>
                    </w:r>
                    <w:r>
                      <w:rPr>
                        <w:lang w:val="zh-CN"/>
                      </w:rP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66838">
    <w:pPr>
      <w:pStyle w:val="10"/>
      <w:jc w:val="both"/>
      <w:rPr>
        <w:sz w:val="2"/>
        <w:szCs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8C9A7">
    <w:pPr>
      <w:pStyle w:val="28"/>
      <w:rPr>
        <w:rFonts w:hint="eastAsia"/>
      </w:rPr>
    </w:pPr>
    <w:r>
      <w:fldChar w:fldCharType="begin"/>
    </w:r>
    <w:r>
      <w:instrText xml:space="preserve"> STYLEREF  标准文件_文件编号  \* MERGEFORMAT </w:instrText>
    </w:r>
    <w:r>
      <w:fldChar w:fldCharType="separate"/>
    </w:r>
    <w:r>
      <w:t>T/CRIA 1800XX—202X</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C5D10">
    <w:pPr>
      <w:pStyle w:val="10"/>
      <w:jc w:val="left"/>
      <w:rPr>
        <w:rFonts w:hint="eastAsia" w:ascii="黑体" w:hAnsi="黑体" w:eastAsia="黑体" w:cs="黑体"/>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STYLEREF  标准文件_文件编号  \* MERGEFORMAT </w:instrText>
    </w:r>
    <w:r>
      <w:rPr>
        <w:rFonts w:hint="eastAsia" w:ascii="黑体" w:hAnsi="黑体" w:eastAsia="黑体" w:cs="黑体"/>
        <w:sz w:val="21"/>
        <w:szCs w:val="21"/>
      </w:rPr>
      <w:fldChar w:fldCharType="separate"/>
    </w:r>
    <w:r>
      <w:rPr>
        <w:rFonts w:hint="eastAsia" w:ascii="黑体" w:hAnsi="黑体" w:eastAsia="黑体" w:cs="黑体"/>
        <w:sz w:val="21"/>
        <w:szCs w:val="21"/>
      </w:rPr>
      <w:t>T/CRIA 1800XX—202X</w:t>
    </w:r>
    <w:r>
      <w:rPr>
        <w:rFonts w:hint="eastAsia" w:ascii="黑体" w:hAnsi="黑体" w:eastAsia="黑体" w:cs="黑体"/>
        <w:sz w:val="21"/>
        <w:szCs w:val="21"/>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F"/>
    <w:multiLevelType w:val="multilevel"/>
    <w:tmpl w:val="0000000F"/>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suff w:val="nothing"/>
      <w:lvlText w:val="%1%2　"/>
      <w:lvlJc w:val="left"/>
      <w:pPr>
        <w:ind w:left="0" w:firstLine="0"/>
      </w:pPr>
      <w:rPr>
        <w:rFonts w:hint="default" w:ascii="Arial" w:hAnsi="Arial" w:eastAsia="黑体" w:cs="Arial"/>
        <w:b w:val="0"/>
        <w:bCs w:val="0"/>
        <w:i w:val="0"/>
        <w:iCs w:val="0"/>
        <w:caps w:val="0"/>
        <w:smallCaps w:val="0"/>
        <w:snapToGrid w:val="0"/>
        <w:vanish w:val="0"/>
        <w:color w:val="000000"/>
        <w:spacing w:val="0"/>
        <w:w w:val="0"/>
        <w:kern w:val="0"/>
        <w:position w:val="0"/>
        <w:sz w:val="21"/>
        <w:szCs w:val="0"/>
        <w:u w:val="none"/>
        <w:vertAlign w:val="baseline"/>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07ED3FEA"/>
    <w:multiLevelType w:val="multilevel"/>
    <w:tmpl w:val="07ED3FEA"/>
    <w:lvl w:ilvl="0" w:tentative="0">
      <w:start w:val="1"/>
      <w:numFmt w:val="none"/>
      <w:pStyle w:val="30"/>
      <w:lvlText w:val="%1"/>
      <w:lvlJc w:val="left"/>
      <w:pPr>
        <w:ind w:left="425" w:hanging="425"/>
      </w:pPr>
      <w:rPr>
        <w:rFonts w:hint="eastAsia"/>
      </w:rPr>
    </w:lvl>
    <w:lvl w:ilvl="1" w:tentative="0">
      <w:start w:val="1"/>
      <w:numFmt w:val="decimal"/>
      <w:pStyle w:val="48"/>
      <w:suff w:val="nothing"/>
      <w:lvlText w:val="%10.%2 "/>
      <w:lvlJc w:val="left"/>
      <w:pPr>
        <w:ind w:left="0" w:firstLine="0"/>
      </w:pPr>
      <w:rPr>
        <w:rFonts w:hint="eastAsia" w:ascii="黑体" w:eastAsia="黑体" w:hAnsiTheme="minorHAnsi"/>
        <w:b w:val="0"/>
        <w:i w:val="0"/>
        <w:sz w:val="21"/>
      </w:rPr>
    </w:lvl>
    <w:lvl w:ilvl="2" w:tentative="0">
      <w:start w:val="1"/>
      <w:numFmt w:val="decimal"/>
      <w:pStyle w:val="49"/>
      <w:suff w:val="nothing"/>
      <w:lvlText w:val="%10.%2.%3 "/>
      <w:lvlJc w:val="left"/>
      <w:pPr>
        <w:ind w:left="0" w:firstLine="0"/>
      </w:pPr>
      <w:rPr>
        <w:rFonts w:hint="eastAsia" w:ascii="黑体" w:eastAsia="黑体" w:hAnsiTheme="minorHAnsi"/>
        <w:b w:val="0"/>
        <w:i w:val="0"/>
        <w:sz w:val="21"/>
      </w:rPr>
    </w:lvl>
    <w:lvl w:ilvl="3" w:tentative="0">
      <w:start w:val="1"/>
      <w:numFmt w:val="decimal"/>
      <w:pStyle w:val="60"/>
      <w:suff w:val="nothing"/>
      <w:lvlText w:val="%10.%2.%3.%4 "/>
      <w:lvlJc w:val="left"/>
      <w:pPr>
        <w:ind w:left="0" w:firstLine="0"/>
      </w:pPr>
      <w:rPr>
        <w:rFonts w:hint="eastAsia" w:ascii="黑体" w:eastAsia="黑体" w:hAnsiTheme="minorHAnsi"/>
        <w:b w:val="0"/>
        <w:i w:val="0"/>
        <w:sz w:val="21"/>
      </w:rPr>
    </w:lvl>
    <w:lvl w:ilvl="4" w:tentative="0">
      <w:start w:val="1"/>
      <w:numFmt w:val="decimal"/>
      <w:pStyle w:val="51"/>
      <w:suff w:val="nothing"/>
      <w:lvlText w:val="%10.%2.%3.%4.%5 "/>
      <w:lvlJc w:val="left"/>
      <w:pPr>
        <w:ind w:left="0" w:firstLine="0"/>
      </w:pPr>
      <w:rPr>
        <w:rFonts w:hint="eastAsia" w:ascii="黑体" w:eastAsia="黑体" w:hAnsiTheme="minorHAnsi"/>
        <w:b w:val="0"/>
        <w:i w:val="0"/>
        <w:sz w:val="21"/>
      </w:rPr>
    </w:lvl>
    <w:lvl w:ilvl="5" w:tentative="0">
      <w:start w:val="1"/>
      <w:numFmt w:val="decimal"/>
      <w:pStyle w:val="52"/>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
    <w:nsid w:val="1FC91163"/>
    <w:multiLevelType w:val="multilevel"/>
    <w:tmpl w:val="1FC91163"/>
    <w:lvl w:ilvl="0" w:tentative="0">
      <w:start w:val="6"/>
      <w:numFmt w:val="decimal"/>
      <w:pStyle w:val="59"/>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56"/>
      <w:suff w:val="nothing"/>
      <w:lvlText w:val="%1.%2　"/>
      <w:lvlJc w:val="left"/>
      <w:pPr>
        <w:ind w:left="0"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pStyle w:val="55"/>
      <w:suff w:val="nothing"/>
      <w:lvlText w:val="%1.%2.%3　"/>
      <w:lvlJc w:val="left"/>
      <w:pPr>
        <w:ind w:left="0" w:firstLine="0"/>
      </w:pPr>
      <w:rPr>
        <w:rFonts w:hint="eastAsia" w:ascii="黑体" w:hAnsi="Times New Roman" w:eastAsia="黑体"/>
        <w:b w:val="0"/>
        <w:i w:val="0"/>
        <w:sz w:val="21"/>
      </w:rPr>
    </w:lvl>
    <w:lvl w:ilvl="3" w:tentative="0">
      <w:start w:val="1"/>
      <w:numFmt w:val="decimal"/>
      <w:pStyle w:val="57"/>
      <w:suff w:val="nothing"/>
      <w:lvlText w:val="%1.%2.%3.%4　"/>
      <w:lvlJc w:val="left"/>
      <w:pPr>
        <w:ind w:left="283" w:firstLine="0"/>
      </w:pPr>
      <w:rPr>
        <w:rFonts w:hint="eastAsia" w:ascii="黑体" w:hAnsi="Times New Roman" w:eastAsia="黑体"/>
        <w:b w:val="0"/>
        <w:i w:val="0"/>
        <w:sz w:val="21"/>
      </w:rPr>
    </w:lvl>
    <w:lvl w:ilvl="4" w:tentative="0">
      <w:start w:val="1"/>
      <w:numFmt w:val="decimal"/>
      <w:pStyle w:val="58"/>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
    <w:nsid w:val="2A8F7113"/>
    <w:multiLevelType w:val="multilevel"/>
    <w:tmpl w:val="2A8F7113"/>
    <w:lvl w:ilvl="0" w:tentative="0">
      <w:start w:val="1"/>
      <w:numFmt w:val="upperLetter"/>
      <w:pStyle w:val="72"/>
      <w:suff w:val="space"/>
      <w:lvlText w:val="%1"/>
      <w:lvlJc w:val="left"/>
      <w:pPr>
        <w:ind w:left="623" w:hanging="425"/>
      </w:pPr>
      <w:rPr>
        <w:rFonts w:hint="eastAsia"/>
      </w:rPr>
    </w:lvl>
    <w:lvl w:ilvl="1" w:tentative="0">
      <w:start w:val="1"/>
      <w:numFmt w:val="decimal"/>
      <w:pStyle w:val="77"/>
      <w:suff w:val="nothing"/>
      <w:lvlText w:val="图A.%2　"/>
      <w:lvlJc w:val="left"/>
      <w:pPr>
        <w:ind w:left="1190" w:hanging="567"/>
      </w:pPr>
      <w:rPr>
        <w:rFonts w:hint="eastAsia"/>
      </w:rPr>
    </w:lvl>
    <w:lvl w:ilvl="2" w:tentative="0">
      <w:start w:val="1"/>
      <w:numFmt w:val="decimal"/>
      <w:lvlText w:val="%1.%2.%3"/>
      <w:lvlJc w:val="left"/>
      <w:pPr>
        <w:tabs>
          <w:tab w:val="left" w:pos="1616"/>
        </w:tabs>
        <w:ind w:left="1616" w:hanging="567"/>
      </w:pPr>
      <w:rPr>
        <w:rFonts w:hint="eastAsia"/>
      </w:rPr>
    </w:lvl>
    <w:lvl w:ilvl="3" w:tentative="0">
      <w:start w:val="1"/>
      <w:numFmt w:val="decimal"/>
      <w:lvlText w:val="%1.%2.%3.%4"/>
      <w:lvlJc w:val="left"/>
      <w:pPr>
        <w:tabs>
          <w:tab w:val="left" w:pos="2914"/>
        </w:tabs>
        <w:ind w:left="2182" w:hanging="708"/>
      </w:pPr>
      <w:rPr>
        <w:rFonts w:hint="eastAsia"/>
      </w:rPr>
    </w:lvl>
    <w:lvl w:ilvl="4" w:tentative="0">
      <w:start w:val="1"/>
      <w:numFmt w:val="decimal"/>
      <w:lvlText w:val="%1.%2.%3.%4.%5"/>
      <w:lvlJc w:val="left"/>
      <w:pPr>
        <w:tabs>
          <w:tab w:val="left" w:pos="3699"/>
        </w:tabs>
        <w:ind w:left="2749" w:hanging="850"/>
      </w:pPr>
      <w:rPr>
        <w:rFonts w:hint="eastAsia"/>
      </w:rPr>
    </w:lvl>
    <w:lvl w:ilvl="5" w:tentative="0">
      <w:start w:val="1"/>
      <w:numFmt w:val="decimal"/>
      <w:lvlText w:val="%1.%2.%3.%4.%5.%6"/>
      <w:lvlJc w:val="left"/>
      <w:pPr>
        <w:tabs>
          <w:tab w:val="left" w:pos="4484"/>
        </w:tabs>
        <w:ind w:left="3458" w:hanging="1134"/>
      </w:pPr>
      <w:rPr>
        <w:rFonts w:hint="eastAsia"/>
      </w:rPr>
    </w:lvl>
    <w:lvl w:ilvl="6" w:tentative="0">
      <w:start w:val="1"/>
      <w:numFmt w:val="decimal"/>
      <w:lvlText w:val="%1.%2.%3.%4.%5.%6.%7"/>
      <w:lvlJc w:val="left"/>
      <w:pPr>
        <w:tabs>
          <w:tab w:val="left" w:pos="5269"/>
        </w:tabs>
        <w:ind w:left="4025" w:hanging="1276"/>
      </w:pPr>
      <w:rPr>
        <w:rFonts w:hint="eastAsia"/>
      </w:rPr>
    </w:lvl>
    <w:lvl w:ilvl="7" w:tentative="0">
      <w:start w:val="1"/>
      <w:numFmt w:val="decimal"/>
      <w:lvlText w:val="%1.%2.%3.%4.%5.%6.%7.%8"/>
      <w:lvlJc w:val="left"/>
      <w:pPr>
        <w:tabs>
          <w:tab w:val="left" w:pos="6054"/>
        </w:tabs>
        <w:ind w:left="4592" w:hanging="1418"/>
      </w:pPr>
      <w:rPr>
        <w:rFonts w:hint="eastAsia"/>
      </w:rPr>
    </w:lvl>
    <w:lvl w:ilvl="8" w:tentative="0">
      <w:start w:val="1"/>
      <w:numFmt w:val="decimal"/>
      <w:lvlText w:val="%1.%2.%3.%4.%5.%6.%7.%8.%9"/>
      <w:lvlJc w:val="left"/>
      <w:pPr>
        <w:tabs>
          <w:tab w:val="left" w:pos="6840"/>
        </w:tabs>
        <w:ind w:left="5300" w:hanging="1700"/>
      </w:pPr>
      <w:rPr>
        <w:rFonts w:hint="eastAsia"/>
      </w:rPr>
    </w:lvl>
  </w:abstractNum>
  <w:abstractNum w:abstractNumId="4">
    <w:nsid w:val="3D733618"/>
    <w:multiLevelType w:val="multilevel"/>
    <w:tmpl w:val="3D733618"/>
    <w:lvl w:ilvl="0" w:tentative="0">
      <w:start w:val="1"/>
      <w:numFmt w:val="decimal"/>
      <w:pStyle w:val="13"/>
      <w:lvlText w:val="%1)"/>
      <w:lvlJc w:val="left"/>
      <w:pPr>
        <w:tabs>
          <w:tab w:val="left" w:pos="0"/>
        </w:tabs>
        <w:ind w:left="720" w:hanging="357"/>
      </w:pPr>
      <w:rPr>
        <w:rFonts w:hint="eastAsia"/>
      </w:rPr>
    </w:lvl>
    <w:lvl w:ilvl="1" w:tentative="0">
      <w:start w:val="1"/>
      <w:numFmt w:val="lowerLetter"/>
      <w:lvlText w:val="%2)"/>
      <w:lvlJc w:val="left"/>
      <w:pPr>
        <w:tabs>
          <w:tab w:val="left" w:pos="504"/>
        </w:tabs>
        <w:ind w:left="544" w:hanging="544"/>
      </w:pPr>
      <w:rPr>
        <w:rFonts w:hint="eastAsia"/>
      </w:rPr>
    </w:lvl>
    <w:lvl w:ilvl="2" w:tentative="0">
      <w:start w:val="1"/>
      <w:numFmt w:val="lowerRoman"/>
      <w:lvlText w:val="%3."/>
      <w:lvlJc w:val="right"/>
      <w:pPr>
        <w:tabs>
          <w:tab w:val="left" w:pos="532"/>
        </w:tabs>
        <w:ind w:left="544" w:hanging="544"/>
      </w:pPr>
      <w:rPr>
        <w:rFonts w:hint="eastAsia"/>
      </w:rPr>
    </w:lvl>
    <w:lvl w:ilvl="3" w:tentative="0">
      <w:start w:val="1"/>
      <w:numFmt w:val="decimal"/>
      <w:lvlText w:val="%4."/>
      <w:lvlJc w:val="left"/>
      <w:pPr>
        <w:tabs>
          <w:tab w:val="left" w:pos="560"/>
        </w:tabs>
        <w:ind w:left="544" w:hanging="544"/>
      </w:pPr>
      <w:rPr>
        <w:rFonts w:hint="eastAsia"/>
      </w:rPr>
    </w:lvl>
    <w:lvl w:ilvl="4" w:tentative="0">
      <w:start w:val="1"/>
      <w:numFmt w:val="lowerLetter"/>
      <w:lvlText w:val="%5)"/>
      <w:lvlJc w:val="left"/>
      <w:pPr>
        <w:tabs>
          <w:tab w:val="left" w:pos="588"/>
        </w:tabs>
        <w:ind w:left="544" w:hanging="544"/>
      </w:pPr>
      <w:rPr>
        <w:rFonts w:hint="eastAsia"/>
      </w:rPr>
    </w:lvl>
    <w:lvl w:ilvl="5" w:tentative="0">
      <w:start w:val="1"/>
      <w:numFmt w:val="lowerRoman"/>
      <w:lvlText w:val="%6."/>
      <w:lvlJc w:val="right"/>
      <w:pPr>
        <w:tabs>
          <w:tab w:val="left" w:pos="616"/>
        </w:tabs>
        <w:ind w:left="544" w:hanging="544"/>
      </w:pPr>
      <w:rPr>
        <w:rFonts w:hint="eastAsia"/>
      </w:rPr>
    </w:lvl>
    <w:lvl w:ilvl="6" w:tentative="0">
      <w:start w:val="1"/>
      <w:numFmt w:val="decimal"/>
      <w:lvlText w:val="%7."/>
      <w:lvlJc w:val="left"/>
      <w:pPr>
        <w:tabs>
          <w:tab w:val="left" w:pos="644"/>
        </w:tabs>
        <w:ind w:left="544" w:hanging="544"/>
      </w:pPr>
      <w:rPr>
        <w:rFonts w:hint="eastAsia"/>
      </w:rPr>
    </w:lvl>
    <w:lvl w:ilvl="7" w:tentative="0">
      <w:start w:val="1"/>
      <w:numFmt w:val="lowerLetter"/>
      <w:lvlText w:val="%8)"/>
      <w:lvlJc w:val="left"/>
      <w:pPr>
        <w:tabs>
          <w:tab w:val="left" w:pos="672"/>
        </w:tabs>
        <w:ind w:left="544" w:hanging="544"/>
      </w:pPr>
      <w:rPr>
        <w:rFonts w:hint="eastAsia"/>
      </w:rPr>
    </w:lvl>
    <w:lvl w:ilvl="8" w:tentative="0">
      <w:start w:val="1"/>
      <w:numFmt w:val="lowerRoman"/>
      <w:lvlText w:val="%9."/>
      <w:lvlJc w:val="right"/>
      <w:pPr>
        <w:tabs>
          <w:tab w:val="left" w:pos="700"/>
        </w:tabs>
        <w:ind w:left="544" w:hanging="544"/>
      </w:pPr>
      <w:rPr>
        <w:rFonts w:hint="eastAsia"/>
      </w:rPr>
    </w:lvl>
  </w:abstractNum>
  <w:abstractNum w:abstractNumId="5">
    <w:nsid w:val="44C50F90"/>
    <w:multiLevelType w:val="multilevel"/>
    <w:tmpl w:val="44C50F90"/>
    <w:lvl w:ilvl="0" w:tentative="0">
      <w:start w:val="1"/>
      <w:numFmt w:val="lowerLetter"/>
      <w:pStyle w:val="74"/>
      <w:lvlText w:val="%1)"/>
      <w:lvlJc w:val="left"/>
      <w:pPr>
        <w:tabs>
          <w:tab w:val="left" w:pos="840"/>
        </w:tabs>
        <w:ind w:left="839" w:hanging="419"/>
      </w:pPr>
      <w:rPr>
        <w:rFonts w:hint="eastAsia" w:ascii="宋体" w:eastAsia="宋体"/>
        <w:b w:val="0"/>
        <w:i w:val="0"/>
        <w:sz w:val="21"/>
        <w:szCs w:val="21"/>
      </w:rPr>
    </w:lvl>
    <w:lvl w:ilvl="1" w:tentative="0">
      <w:start w:val="1"/>
      <w:numFmt w:val="decimal"/>
      <w:pStyle w:val="75"/>
      <w:lvlText w:val="%2)"/>
      <w:lvlJc w:val="left"/>
      <w:pPr>
        <w:tabs>
          <w:tab w:val="left" w:pos="1260"/>
        </w:tabs>
        <w:ind w:left="1259" w:hanging="419"/>
      </w:pPr>
      <w:rPr>
        <w:rFonts w:hint="eastAsia"/>
      </w:rPr>
    </w:lvl>
    <w:lvl w:ilvl="2" w:tentative="0">
      <w:start w:val="1"/>
      <w:numFmt w:val="decimal"/>
      <w:pStyle w:val="76"/>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6">
    <w:nsid w:val="646260FA"/>
    <w:multiLevelType w:val="multilevel"/>
    <w:tmpl w:val="646260FA"/>
    <w:lvl w:ilvl="0" w:tentative="0">
      <w:start w:val="1"/>
      <w:numFmt w:val="decimal"/>
      <w:pStyle w:val="37"/>
      <w:suff w:val="nothing"/>
      <w:lvlText w:val="表%1　"/>
      <w:lvlJc w:val="left"/>
      <w:pPr>
        <w:ind w:left="3403" w:firstLine="0"/>
      </w:pPr>
    </w:lvl>
    <w:lvl w:ilvl="1" w:tentative="0">
      <w:start w:val="1"/>
      <w:numFmt w:val="decimal"/>
      <w:lvlText w:val="%1.%2"/>
      <w:lvlJc w:val="left"/>
      <w:pPr>
        <w:tabs>
          <w:tab w:val="left" w:pos="2085"/>
        </w:tabs>
        <w:ind w:left="4395" w:hanging="567"/>
      </w:pPr>
    </w:lvl>
    <w:lvl w:ilvl="2" w:tentative="0">
      <w:start w:val="1"/>
      <w:numFmt w:val="decimal"/>
      <w:lvlText w:val="%1.%2.%3"/>
      <w:lvlJc w:val="left"/>
      <w:pPr>
        <w:tabs>
          <w:tab w:val="left" w:pos="2510"/>
        </w:tabs>
        <w:ind w:left="4820" w:hanging="567"/>
      </w:pPr>
    </w:lvl>
    <w:lvl w:ilvl="3" w:tentative="0">
      <w:start w:val="1"/>
      <w:numFmt w:val="decimal"/>
      <w:lvlText w:val="%1.%2.%3.%4"/>
      <w:lvlJc w:val="left"/>
      <w:pPr>
        <w:tabs>
          <w:tab w:val="left" w:pos="3077"/>
        </w:tabs>
        <w:ind w:left="5387" w:hanging="708"/>
      </w:pPr>
    </w:lvl>
    <w:lvl w:ilvl="4" w:tentative="0">
      <w:start w:val="1"/>
      <w:numFmt w:val="decimal"/>
      <w:lvlText w:val="%1.%2.%3.%4.%5"/>
      <w:lvlJc w:val="left"/>
      <w:pPr>
        <w:tabs>
          <w:tab w:val="left" w:pos="3644"/>
        </w:tabs>
        <w:ind w:left="5954" w:hanging="850"/>
      </w:pPr>
    </w:lvl>
    <w:lvl w:ilvl="5" w:tentative="0">
      <w:start w:val="1"/>
      <w:numFmt w:val="decimal"/>
      <w:lvlText w:val="%1.%2.%3.%4.%5.%6"/>
      <w:lvlJc w:val="left"/>
      <w:pPr>
        <w:tabs>
          <w:tab w:val="left" w:pos="4353"/>
        </w:tabs>
        <w:ind w:left="6663" w:hanging="1134"/>
      </w:pPr>
    </w:lvl>
    <w:lvl w:ilvl="6" w:tentative="0">
      <w:start w:val="1"/>
      <w:numFmt w:val="decimal"/>
      <w:lvlText w:val="%1.%2.%3.%4.%5.%6.%7"/>
      <w:lvlJc w:val="left"/>
      <w:pPr>
        <w:tabs>
          <w:tab w:val="left" w:pos="4920"/>
        </w:tabs>
        <w:ind w:left="7230" w:hanging="1276"/>
      </w:pPr>
    </w:lvl>
    <w:lvl w:ilvl="7" w:tentative="0">
      <w:start w:val="1"/>
      <w:numFmt w:val="decimal"/>
      <w:lvlText w:val="%1.%2.%3.%4.%5.%6.%7.%8"/>
      <w:lvlJc w:val="left"/>
      <w:pPr>
        <w:tabs>
          <w:tab w:val="left" w:pos="5487"/>
        </w:tabs>
        <w:ind w:left="7797" w:hanging="1418"/>
      </w:pPr>
    </w:lvl>
    <w:lvl w:ilvl="8" w:tentative="0">
      <w:start w:val="1"/>
      <w:numFmt w:val="decimal"/>
      <w:lvlText w:val="%1.%2.%3.%4.%5.%6.%7.%8.%9"/>
      <w:lvlJc w:val="left"/>
      <w:pPr>
        <w:tabs>
          <w:tab w:val="left" w:pos="6195"/>
        </w:tabs>
        <w:ind w:left="8505" w:hanging="1700"/>
      </w:pPr>
    </w:lvl>
  </w:abstractNum>
  <w:abstractNum w:abstractNumId="7">
    <w:nsid w:val="657D3FBC"/>
    <w:multiLevelType w:val="multilevel"/>
    <w:tmpl w:val="657D3FBC"/>
    <w:lvl w:ilvl="0" w:tentative="0">
      <w:start w:val="1"/>
      <w:numFmt w:val="upperLetter"/>
      <w:pStyle w:val="62"/>
      <w:suff w:val="nothing"/>
      <w:lvlText w:val="附录%1"/>
      <w:lvlJc w:val="left"/>
      <w:pPr>
        <w:ind w:left="0" w:firstLine="0"/>
      </w:pPr>
      <w:rPr>
        <w:rFonts w:hint="eastAsia"/>
        <w:spacing w:val="100"/>
      </w:rPr>
    </w:lvl>
    <w:lvl w:ilvl="1" w:tentative="0">
      <w:start w:val="1"/>
      <w:numFmt w:val="decimal"/>
      <w:pStyle w:val="63"/>
      <w:suff w:val="nothing"/>
      <w:lvlText w:val="%1.%2　"/>
      <w:lvlJc w:val="left"/>
      <w:pPr>
        <w:ind w:left="0" w:firstLine="0"/>
      </w:pPr>
      <w:rPr>
        <w:rFonts w:hint="eastAsia" w:ascii="黑体" w:eastAsia="黑体"/>
        <w:b w:val="0"/>
        <w:i w:val="0"/>
        <w:sz w:val="21"/>
      </w:rPr>
    </w:lvl>
    <w:lvl w:ilvl="2" w:tentative="0">
      <w:start w:val="1"/>
      <w:numFmt w:val="decimal"/>
      <w:pStyle w:val="64"/>
      <w:suff w:val="nothing"/>
      <w:lvlText w:val="%1.%2.%3　"/>
      <w:lvlJc w:val="left"/>
      <w:pPr>
        <w:ind w:left="0" w:firstLine="0"/>
      </w:pPr>
      <w:rPr>
        <w:rFonts w:hint="eastAsia" w:ascii="黑体" w:eastAsia="黑体"/>
        <w:b w:val="0"/>
        <w:i w:val="0"/>
        <w:sz w:val="21"/>
      </w:rPr>
    </w:lvl>
    <w:lvl w:ilvl="3" w:tentative="0">
      <w:start w:val="1"/>
      <w:numFmt w:val="decimal"/>
      <w:pStyle w:val="65"/>
      <w:suff w:val="nothing"/>
      <w:lvlText w:val="%1.%2.%3.%4　"/>
      <w:lvlJc w:val="left"/>
      <w:pPr>
        <w:ind w:left="0" w:firstLine="0"/>
      </w:pPr>
      <w:rPr>
        <w:rFonts w:hint="eastAsia" w:ascii="黑体" w:eastAsia="黑体"/>
        <w:b w:val="0"/>
        <w:i w:val="0"/>
        <w:sz w:val="21"/>
      </w:rPr>
    </w:lvl>
    <w:lvl w:ilvl="4" w:tentative="0">
      <w:start w:val="1"/>
      <w:numFmt w:val="decimal"/>
      <w:pStyle w:val="66"/>
      <w:suff w:val="nothing"/>
      <w:lvlText w:val="%1.%2.%3.%4.%5　"/>
      <w:lvlJc w:val="left"/>
      <w:pPr>
        <w:ind w:left="0" w:firstLine="0"/>
      </w:pPr>
      <w:rPr>
        <w:rFonts w:hint="eastAsia" w:ascii="黑体" w:eastAsia="黑体"/>
        <w:b w:val="0"/>
        <w:i w:val="0"/>
        <w:sz w:val="21"/>
      </w:rPr>
    </w:lvl>
    <w:lvl w:ilvl="5" w:tentative="0">
      <w:start w:val="1"/>
      <w:numFmt w:val="decimal"/>
      <w:pStyle w:val="67"/>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8">
    <w:nsid w:val="6CEA2025"/>
    <w:multiLevelType w:val="multilevel"/>
    <w:tmpl w:val="6CEA2025"/>
    <w:lvl w:ilvl="0" w:tentative="0">
      <w:start w:val="1"/>
      <w:numFmt w:val="none"/>
      <w:pStyle w:val="40"/>
      <w:suff w:val="nothing"/>
      <w:lvlText w:val="%1"/>
      <w:lvlJc w:val="left"/>
      <w:pPr>
        <w:ind w:left="0" w:firstLine="0"/>
      </w:pPr>
      <w:rPr>
        <w:rFonts w:hint="eastAsia"/>
      </w:rPr>
    </w:lvl>
    <w:lvl w:ilvl="1" w:tentative="0">
      <w:start w:val="1"/>
      <w:numFmt w:val="decimal"/>
      <w:pStyle w:val="35"/>
      <w:suff w:val="nothing"/>
      <w:lvlText w:val="%1%2　"/>
      <w:lvlJc w:val="left"/>
      <w:pPr>
        <w:ind w:left="0" w:firstLine="0"/>
      </w:pPr>
      <w:rPr>
        <w:rFonts w:hint="eastAsia" w:ascii="黑体" w:eastAsia="黑体"/>
        <w:b w:val="0"/>
        <w:i w:val="0"/>
        <w:sz w:val="21"/>
      </w:rPr>
    </w:lvl>
    <w:lvl w:ilvl="2" w:tentative="0">
      <w:start w:val="1"/>
      <w:numFmt w:val="decimal"/>
      <w:pStyle w:val="36"/>
      <w:suff w:val="nothing"/>
      <w:lvlText w:val="%1%2.%3　"/>
      <w:lvlJc w:val="left"/>
      <w:pPr>
        <w:ind w:left="42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29"/>
      <w:suff w:val="nothing"/>
      <w:lvlText w:val="%1%2.%3.%4　"/>
      <w:lvlJc w:val="left"/>
      <w:pPr>
        <w:ind w:left="0" w:firstLine="0"/>
      </w:pPr>
      <w:rPr>
        <w:rFonts w:hint="eastAsia" w:ascii="黑体" w:eastAsia="黑体"/>
        <w:b w:val="0"/>
        <w:i w:val="0"/>
        <w:sz w:val="21"/>
      </w:rPr>
    </w:lvl>
    <w:lvl w:ilvl="4" w:tentative="0">
      <w:start w:val="1"/>
      <w:numFmt w:val="decimal"/>
      <w:pStyle w:val="32"/>
      <w:suff w:val="nothing"/>
      <w:lvlText w:val="%1%2.%3.%4.%5　"/>
      <w:lvlJc w:val="left"/>
      <w:pPr>
        <w:ind w:left="0" w:firstLine="0"/>
      </w:pPr>
      <w:rPr>
        <w:rFonts w:hint="eastAsia" w:ascii="黑体" w:eastAsia="黑体"/>
        <w:b w:val="0"/>
        <w:i w:val="0"/>
        <w:sz w:val="21"/>
      </w:rPr>
    </w:lvl>
    <w:lvl w:ilvl="5" w:tentative="0">
      <w:start w:val="1"/>
      <w:numFmt w:val="decimal"/>
      <w:pStyle w:val="33"/>
      <w:suff w:val="nothing"/>
      <w:lvlText w:val="%1%2.%3.%4.%5.%6　"/>
      <w:lvlJc w:val="left"/>
      <w:pPr>
        <w:ind w:left="0" w:firstLine="0"/>
      </w:pPr>
      <w:rPr>
        <w:rFonts w:hint="eastAsia" w:ascii="黑体" w:eastAsia="黑体"/>
        <w:b w:val="0"/>
        <w:i w:val="0"/>
        <w:sz w:val="21"/>
      </w:rPr>
    </w:lvl>
    <w:lvl w:ilvl="6" w:tentative="0">
      <w:start w:val="1"/>
      <w:numFmt w:val="decimal"/>
      <w:pStyle w:val="34"/>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4"/>
  </w:num>
  <w:num w:numId="2">
    <w:abstractNumId w:val="8"/>
  </w:num>
  <w:num w:numId="3">
    <w:abstractNumId w:val="1"/>
  </w:num>
  <w:num w:numId="4">
    <w:abstractNumId w:val="6"/>
  </w:num>
  <w:num w:numId="5">
    <w:abstractNumId w:val="2"/>
  </w:num>
  <w:num w:numId="6">
    <w:abstractNumId w:val="7"/>
  </w:num>
  <w:num w:numId="7">
    <w:abstractNumId w:val="3"/>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YwZmZlOGUyNWJlMzE1YTczZmMwNmM1NTAxMTNkNDEifQ=="/>
  </w:docVars>
  <w:rsids>
    <w:rsidRoot w:val="00177608"/>
    <w:rsid w:val="00000A85"/>
    <w:rsid w:val="00016DEB"/>
    <w:rsid w:val="00035BD1"/>
    <w:rsid w:val="000374F8"/>
    <w:rsid w:val="0005581F"/>
    <w:rsid w:val="0006116B"/>
    <w:rsid w:val="00064395"/>
    <w:rsid w:val="000653E0"/>
    <w:rsid w:val="00067E6E"/>
    <w:rsid w:val="00075E7A"/>
    <w:rsid w:val="0008124B"/>
    <w:rsid w:val="00085A9D"/>
    <w:rsid w:val="00093E1E"/>
    <w:rsid w:val="000A7C61"/>
    <w:rsid w:val="000C28FA"/>
    <w:rsid w:val="000C594A"/>
    <w:rsid w:val="000D204E"/>
    <w:rsid w:val="000D5018"/>
    <w:rsid w:val="00101E3A"/>
    <w:rsid w:val="00104485"/>
    <w:rsid w:val="00105C4F"/>
    <w:rsid w:val="0011760F"/>
    <w:rsid w:val="0013711E"/>
    <w:rsid w:val="001374F9"/>
    <w:rsid w:val="00137FB3"/>
    <w:rsid w:val="00140C7B"/>
    <w:rsid w:val="00141341"/>
    <w:rsid w:val="0015186C"/>
    <w:rsid w:val="00154534"/>
    <w:rsid w:val="00160CBE"/>
    <w:rsid w:val="00162968"/>
    <w:rsid w:val="001655C5"/>
    <w:rsid w:val="001673D6"/>
    <w:rsid w:val="00177608"/>
    <w:rsid w:val="001779A7"/>
    <w:rsid w:val="0018023E"/>
    <w:rsid w:val="001826A7"/>
    <w:rsid w:val="0018503B"/>
    <w:rsid w:val="0018646B"/>
    <w:rsid w:val="00194B28"/>
    <w:rsid w:val="001A2D2C"/>
    <w:rsid w:val="001B298C"/>
    <w:rsid w:val="001B3FE7"/>
    <w:rsid w:val="001B4CE7"/>
    <w:rsid w:val="001B69A8"/>
    <w:rsid w:val="001B77F6"/>
    <w:rsid w:val="001C42E4"/>
    <w:rsid w:val="001D16D2"/>
    <w:rsid w:val="001E241E"/>
    <w:rsid w:val="001E397F"/>
    <w:rsid w:val="0021252A"/>
    <w:rsid w:val="0022137F"/>
    <w:rsid w:val="0023422F"/>
    <w:rsid w:val="00261DA1"/>
    <w:rsid w:val="00273A61"/>
    <w:rsid w:val="00287A62"/>
    <w:rsid w:val="00287DC0"/>
    <w:rsid w:val="00290CB0"/>
    <w:rsid w:val="00291931"/>
    <w:rsid w:val="002B07DA"/>
    <w:rsid w:val="002C23DF"/>
    <w:rsid w:val="002C2E9D"/>
    <w:rsid w:val="002C788F"/>
    <w:rsid w:val="002C7E6E"/>
    <w:rsid w:val="002D4569"/>
    <w:rsid w:val="002D6B73"/>
    <w:rsid w:val="002D7FC0"/>
    <w:rsid w:val="002E0CA2"/>
    <w:rsid w:val="002E5CEF"/>
    <w:rsid w:val="00302AEB"/>
    <w:rsid w:val="00303A26"/>
    <w:rsid w:val="0030694F"/>
    <w:rsid w:val="00333042"/>
    <w:rsid w:val="00333D27"/>
    <w:rsid w:val="00340ECA"/>
    <w:rsid w:val="00344C4C"/>
    <w:rsid w:val="00346077"/>
    <w:rsid w:val="003557C2"/>
    <w:rsid w:val="00362337"/>
    <w:rsid w:val="00362744"/>
    <w:rsid w:val="00364B1D"/>
    <w:rsid w:val="003726D9"/>
    <w:rsid w:val="00386164"/>
    <w:rsid w:val="003A2C48"/>
    <w:rsid w:val="003A506A"/>
    <w:rsid w:val="003B0088"/>
    <w:rsid w:val="003B454F"/>
    <w:rsid w:val="003B7797"/>
    <w:rsid w:val="003C4879"/>
    <w:rsid w:val="003C722F"/>
    <w:rsid w:val="003C75B9"/>
    <w:rsid w:val="003D188D"/>
    <w:rsid w:val="003D232C"/>
    <w:rsid w:val="003D6248"/>
    <w:rsid w:val="003F7D50"/>
    <w:rsid w:val="004176ED"/>
    <w:rsid w:val="00420CA0"/>
    <w:rsid w:val="004244E7"/>
    <w:rsid w:val="00437B86"/>
    <w:rsid w:val="00450784"/>
    <w:rsid w:val="00455120"/>
    <w:rsid w:val="00455847"/>
    <w:rsid w:val="00455B00"/>
    <w:rsid w:val="00461C3E"/>
    <w:rsid w:val="00466671"/>
    <w:rsid w:val="00472949"/>
    <w:rsid w:val="00475D70"/>
    <w:rsid w:val="0047689E"/>
    <w:rsid w:val="00485329"/>
    <w:rsid w:val="00495694"/>
    <w:rsid w:val="004A0294"/>
    <w:rsid w:val="004A65FB"/>
    <w:rsid w:val="004C5631"/>
    <w:rsid w:val="004D12F9"/>
    <w:rsid w:val="004D753F"/>
    <w:rsid w:val="004E190F"/>
    <w:rsid w:val="004F204A"/>
    <w:rsid w:val="0050752C"/>
    <w:rsid w:val="00522FC9"/>
    <w:rsid w:val="005248A4"/>
    <w:rsid w:val="00527661"/>
    <w:rsid w:val="00527B12"/>
    <w:rsid w:val="0053366C"/>
    <w:rsid w:val="00543198"/>
    <w:rsid w:val="00552524"/>
    <w:rsid w:val="00556CE7"/>
    <w:rsid w:val="005637C4"/>
    <w:rsid w:val="0056482F"/>
    <w:rsid w:val="00566F2D"/>
    <w:rsid w:val="0057084D"/>
    <w:rsid w:val="0057362D"/>
    <w:rsid w:val="00577BE6"/>
    <w:rsid w:val="0058453E"/>
    <w:rsid w:val="005A3023"/>
    <w:rsid w:val="005A4CF4"/>
    <w:rsid w:val="005A4D3E"/>
    <w:rsid w:val="005E0613"/>
    <w:rsid w:val="005E55C1"/>
    <w:rsid w:val="005F3AE7"/>
    <w:rsid w:val="005F72F6"/>
    <w:rsid w:val="0060327E"/>
    <w:rsid w:val="00604B7A"/>
    <w:rsid w:val="006057A5"/>
    <w:rsid w:val="00624A47"/>
    <w:rsid w:val="006307C2"/>
    <w:rsid w:val="00637C1C"/>
    <w:rsid w:val="006429A1"/>
    <w:rsid w:val="00643FF3"/>
    <w:rsid w:val="00652EA4"/>
    <w:rsid w:val="0066174E"/>
    <w:rsid w:val="00670ACB"/>
    <w:rsid w:val="00671F80"/>
    <w:rsid w:val="006A3CE7"/>
    <w:rsid w:val="006A5145"/>
    <w:rsid w:val="006B2D4A"/>
    <w:rsid w:val="006B426E"/>
    <w:rsid w:val="006E3687"/>
    <w:rsid w:val="006F5E3E"/>
    <w:rsid w:val="006F6E62"/>
    <w:rsid w:val="007008B5"/>
    <w:rsid w:val="00720D5D"/>
    <w:rsid w:val="00721B7C"/>
    <w:rsid w:val="00721C7A"/>
    <w:rsid w:val="007305F3"/>
    <w:rsid w:val="00731295"/>
    <w:rsid w:val="007349CA"/>
    <w:rsid w:val="00736B51"/>
    <w:rsid w:val="00745504"/>
    <w:rsid w:val="007611AC"/>
    <w:rsid w:val="00765634"/>
    <w:rsid w:val="00775837"/>
    <w:rsid w:val="00780612"/>
    <w:rsid w:val="00781222"/>
    <w:rsid w:val="007849B8"/>
    <w:rsid w:val="007A2684"/>
    <w:rsid w:val="007A54D0"/>
    <w:rsid w:val="007C2CE0"/>
    <w:rsid w:val="007E07CA"/>
    <w:rsid w:val="0080374D"/>
    <w:rsid w:val="0080475A"/>
    <w:rsid w:val="00822A8E"/>
    <w:rsid w:val="00823B2A"/>
    <w:rsid w:val="00824209"/>
    <w:rsid w:val="00826D19"/>
    <w:rsid w:val="00827DB2"/>
    <w:rsid w:val="00830749"/>
    <w:rsid w:val="0083698F"/>
    <w:rsid w:val="00843243"/>
    <w:rsid w:val="00843C68"/>
    <w:rsid w:val="00844407"/>
    <w:rsid w:val="0084654A"/>
    <w:rsid w:val="0085261F"/>
    <w:rsid w:val="0086257F"/>
    <w:rsid w:val="00862B3A"/>
    <w:rsid w:val="008637A1"/>
    <w:rsid w:val="00864892"/>
    <w:rsid w:val="0087733D"/>
    <w:rsid w:val="00897569"/>
    <w:rsid w:val="008977FC"/>
    <w:rsid w:val="008B0147"/>
    <w:rsid w:val="008B25E6"/>
    <w:rsid w:val="008C402A"/>
    <w:rsid w:val="008C4E79"/>
    <w:rsid w:val="008D46B0"/>
    <w:rsid w:val="008D4A6C"/>
    <w:rsid w:val="008E3A51"/>
    <w:rsid w:val="008E7B03"/>
    <w:rsid w:val="008F23F1"/>
    <w:rsid w:val="00900963"/>
    <w:rsid w:val="009100F9"/>
    <w:rsid w:val="00912CF3"/>
    <w:rsid w:val="00915AED"/>
    <w:rsid w:val="009467B5"/>
    <w:rsid w:val="00951277"/>
    <w:rsid w:val="009550D1"/>
    <w:rsid w:val="009605F2"/>
    <w:rsid w:val="00963D86"/>
    <w:rsid w:val="00963DD3"/>
    <w:rsid w:val="00983A60"/>
    <w:rsid w:val="00984630"/>
    <w:rsid w:val="00985730"/>
    <w:rsid w:val="009A0C65"/>
    <w:rsid w:val="009A0ED6"/>
    <w:rsid w:val="009A3535"/>
    <w:rsid w:val="009B3304"/>
    <w:rsid w:val="009B4E64"/>
    <w:rsid w:val="009C63B3"/>
    <w:rsid w:val="009E4BF7"/>
    <w:rsid w:val="009E6DF7"/>
    <w:rsid w:val="009E7A8C"/>
    <w:rsid w:val="009F0125"/>
    <w:rsid w:val="00A0450D"/>
    <w:rsid w:val="00A04A90"/>
    <w:rsid w:val="00A10A60"/>
    <w:rsid w:val="00A1603F"/>
    <w:rsid w:val="00A20C69"/>
    <w:rsid w:val="00A27572"/>
    <w:rsid w:val="00A35586"/>
    <w:rsid w:val="00A52501"/>
    <w:rsid w:val="00A53E4E"/>
    <w:rsid w:val="00A558DB"/>
    <w:rsid w:val="00A5779D"/>
    <w:rsid w:val="00A61740"/>
    <w:rsid w:val="00A63ECA"/>
    <w:rsid w:val="00A64219"/>
    <w:rsid w:val="00A66D89"/>
    <w:rsid w:val="00A66FDA"/>
    <w:rsid w:val="00A727DE"/>
    <w:rsid w:val="00A77423"/>
    <w:rsid w:val="00A82734"/>
    <w:rsid w:val="00A831E9"/>
    <w:rsid w:val="00A853DF"/>
    <w:rsid w:val="00A96A53"/>
    <w:rsid w:val="00A96F36"/>
    <w:rsid w:val="00AB1375"/>
    <w:rsid w:val="00AB5AA7"/>
    <w:rsid w:val="00AB7C46"/>
    <w:rsid w:val="00AC02E9"/>
    <w:rsid w:val="00AC4B86"/>
    <w:rsid w:val="00AD2B72"/>
    <w:rsid w:val="00AD2FA1"/>
    <w:rsid w:val="00AE2A24"/>
    <w:rsid w:val="00AE7C05"/>
    <w:rsid w:val="00AF1941"/>
    <w:rsid w:val="00AF3EC3"/>
    <w:rsid w:val="00AF4B31"/>
    <w:rsid w:val="00AF5591"/>
    <w:rsid w:val="00B06F50"/>
    <w:rsid w:val="00B12027"/>
    <w:rsid w:val="00B12B9A"/>
    <w:rsid w:val="00B12DFF"/>
    <w:rsid w:val="00B20830"/>
    <w:rsid w:val="00B21722"/>
    <w:rsid w:val="00B241DF"/>
    <w:rsid w:val="00B31AA8"/>
    <w:rsid w:val="00B32304"/>
    <w:rsid w:val="00B33F92"/>
    <w:rsid w:val="00B40D07"/>
    <w:rsid w:val="00B417AE"/>
    <w:rsid w:val="00B4463F"/>
    <w:rsid w:val="00B450E1"/>
    <w:rsid w:val="00B523DE"/>
    <w:rsid w:val="00B53146"/>
    <w:rsid w:val="00B6059E"/>
    <w:rsid w:val="00B67EF7"/>
    <w:rsid w:val="00B748A7"/>
    <w:rsid w:val="00B76BAA"/>
    <w:rsid w:val="00B81EDE"/>
    <w:rsid w:val="00B94B0D"/>
    <w:rsid w:val="00B9611B"/>
    <w:rsid w:val="00BA2734"/>
    <w:rsid w:val="00BA27E1"/>
    <w:rsid w:val="00BB0D55"/>
    <w:rsid w:val="00BB36F4"/>
    <w:rsid w:val="00BB3BD8"/>
    <w:rsid w:val="00BB4C7A"/>
    <w:rsid w:val="00BB5EAD"/>
    <w:rsid w:val="00BC1D53"/>
    <w:rsid w:val="00BC43B6"/>
    <w:rsid w:val="00BD16EA"/>
    <w:rsid w:val="00BF5C04"/>
    <w:rsid w:val="00C051DC"/>
    <w:rsid w:val="00C07210"/>
    <w:rsid w:val="00C1487B"/>
    <w:rsid w:val="00C21649"/>
    <w:rsid w:val="00C25EAC"/>
    <w:rsid w:val="00C323BB"/>
    <w:rsid w:val="00C36639"/>
    <w:rsid w:val="00C37615"/>
    <w:rsid w:val="00C4474A"/>
    <w:rsid w:val="00C450CB"/>
    <w:rsid w:val="00C45E1F"/>
    <w:rsid w:val="00C467E9"/>
    <w:rsid w:val="00C50067"/>
    <w:rsid w:val="00C6533B"/>
    <w:rsid w:val="00C70DD3"/>
    <w:rsid w:val="00C815D2"/>
    <w:rsid w:val="00C81F17"/>
    <w:rsid w:val="00C961E5"/>
    <w:rsid w:val="00CA402B"/>
    <w:rsid w:val="00CA706C"/>
    <w:rsid w:val="00CD0761"/>
    <w:rsid w:val="00CE2273"/>
    <w:rsid w:val="00CE475C"/>
    <w:rsid w:val="00CF2A03"/>
    <w:rsid w:val="00CF6392"/>
    <w:rsid w:val="00CF67B0"/>
    <w:rsid w:val="00D01AC3"/>
    <w:rsid w:val="00D03C7A"/>
    <w:rsid w:val="00D06994"/>
    <w:rsid w:val="00D1471F"/>
    <w:rsid w:val="00D24C6D"/>
    <w:rsid w:val="00D26E78"/>
    <w:rsid w:val="00D3050F"/>
    <w:rsid w:val="00D31D4B"/>
    <w:rsid w:val="00D32B10"/>
    <w:rsid w:val="00D42BB3"/>
    <w:rsid w:val="00D44F57"/>
    <w:rsid w:val="00D575D2"/>
    <w:rsid w:val="00D70C8A"/>
    <w:rsid w:val="00D76ACC"/>
    <w:rsid w:val="00D867DC"/>
    <w:rsid w:val="00D90825"/>
    <w:rsid w:val="00D95B77"/>
    <w:rsid w:val="00DA3411"/>
    <w:rsid w:val="00DB27B4"/>
    <w:rsid w:val="00DC0348"/>
    <w:rsid w:val="00DC661A"/>
    <w:rsid w:val="00DD1F62"/>
    <w:rsid w:val="00DE7C38"/>
    <w:rsid w:val="00DF2B22"/>
    <w:rsid w:val="00DF69C0"/>
    <w:rsid w:val="00DF6F6B"/>
    <w:rsid w:val="00E1183D"/>
    <w:rsid w:val="00E11FE4"/>
    <w:rsid w:val="00E454BB"/>
    <w:rsid w:val="00E4597A"/>
    <w:rsid w:val="00E45D00"/>
    <w:rsid w:val="00E47D6C"/>
    <w:rsid w:val="00E5266C"/>
    <w:rsid w:val="00E54E3D"/>
    <w:rsid w:val="00E5534A"/>
    <w:rsid w:val="00E553AA"/>
    <w:rsid w:val="00E60DD3"/>
    <w:rsid w:val="00E615C0"/>
    <w:rsid w:val="00E72829"/>
    <w:rsid w:val="00E74980"/>
    <w:rsid w:val="00E808CF"/>
    <w:rsid w:val="00E83B81"/>
    <w:rsid w:val="00E93CAC"/>
    <w:rsid w:val="00EA5DA5"/>
    <w:rsid w:val="00EB683B"/>
    <w:rsid w:val="00EC1182"/>
    <w:rsid w:val="00EC5FFF"/>
    <w:rsid w:val="00EC6D4D"/>
    <w:rsid w:val="00EE1483"/>
    <w:rsid w:val="00EE355F"/>
    <w:rsid w:val="00EF3F33"/>
    <w:rsid w:val="00F20B49"/>
    <w:rsid w:val="00F23C69"/>
    <w:rsid w:val="00F24EA6"/>
    <w:rsid w:val="00F26DB0"/>
    <w:rsid w:val="00F277F9"/>
    <w:rsid w:val="00F35115"/>
    <w:rsid w:val="00F35586"/>
    <w:rsid w:val="00F3630F"/>
    <w:rsid w:val="00F4104F"/>
    <w:rsid w:val="00F53E50"/>
    <w:rsid w:val="00F6118C"/>
    <w:rsid w:val="00F72546"/>
    <w:rsid w:val="00F84FB2"/>
    <w:rsid w:val="00F946F7"/>
    <w:rsid w:val="00FC0AA5"/>
    <w:rsid w:val="00FC56EF"/>
    <w:rsid w:val="00FD0DCF"/>
    <w:rsid w:val="00FD69B4"/>
    <w:rsid w:val="00FD7622"/>
    <w:rsid w:val="00FE57BB"/>
    <w:rsid w:val="00FF2A75"/>
    <w:rsid w:val="016A52EB"/>
    <w:rsid w:val="017B11E4"/>
    <w:rsid w:val="01B6221C"/>
    <w:rsid w:val="021D1068"/>
    <w:rsid w:val="024355F2"/>
    <w:rsid w:val="03AB7CB5"/>
    <w:rsid w:val="04070EB4"/>
    <w:rsid w:val="042E253E"/>
    <w:rsid w:val="04365896"/>
    <w:rsid w:val="04E90B5B"/>
    <w:rsid w:val="065D535C"/>
    <w:rsid w:val="06B5313E"/>
    <w:rsid w:val="06FA420A"/>
    <w:rsid w:val="071B4E75"/>
    <w:rsid w:val="07846919"/>
    <w:rsid w:val="07B41AF7"/>
    <w:rsid w:val="07DB275E"/>
    <w:rsid w:val="09C666BC"/>
    <w:rsid w:val="0AF142C5"/>
    <w:rsid w:val="0B6E4B15"/>
    <w:rsid w:val="0C670CE3"/>
    <w:rsid w:val="0CD36895"/>
    <w:rsid w:val="0CE234A7"/>
    <w:rsid w:val="0D3B009B"/>
    <w:rsid w:val="0DC509C5"/>
    <w:rsid w:val="0E163AA6"/>
    <w:rsid w:val="0E43074E"/>
    <w:rsid w:val="0E8D07A9"/>
    <w:rsid w:val="0ECC627B"/>
    <w:rsid w:val="0EF33100"/>
    <w:rsid w:val="0F8F0C68"/>
    <w:rsid w:val="10D12BCF"/>
    <w:rsid w:val="10ED3781"/>
    <w:rsid w:val="119F5E84"/>
    <w:rsid w:val="11C84D26"/>
    <w:rsid w:val="11CC3396"/>
    <w:rsid w:val="11E17E86"/>
    <w:rsid w:val="127529C0"/>
    <w:rsid w:val="12847AFA"/>
    <w:rsid w:val="12870DF4"/>
    <w:rsid w:val="12F37301"/>
    <w:rsid w:val="134E49AB"/>
    <w:rsid w:val="13E05377"/>
    <w:rsid w:val="14417BF7"/>
    <w:rsid w:val="15511EAE"/>
    <w:rsid w:val="167A5664"/>
    <w:rsid w:val="16BA0495"/>
    <w:rsid w:val="17684F4D"/>
    <w:rsid w:val="185D2F9A"/>
    <w:rsid w:val="18BB7226"/>
    <w:rsid w:val="19640BAC"/>
    <w:rsid w:val="1A170FE4"/>
    <w:rsid w:val="1A9058A9"/>
    <w:rsid w:val="1ADB715F"/>
    <w:rsid w:val="1B3C77DE"/>
    <w:rsid w:val="1BDC117A"/>
    <w:rsid w:val="1DA11E7B"/>
    <w:rsid w:val="1DC81A98"/>
    <w:rsid w:val="1E1660C5"/>
    <w:rsid w:val="1F583F56"/>
    <w:rsid w:val="1F5C044F"/>
    <w:rsid w:val="1FA1329E"/>
    <w:rsid w:val="1FBF278C"/>
    <w:rsid w:val="20144886"/>
    <w:rsid w:val="20AF12BB"/>
    <w:rsid w:val="21494A03"/>
    <w:rsid w:val="214A1378"/>
    <w:rsid w:val="21FD1EE2"/>
    <w:rsid w:val="221E5B12"/>
    <w:rsid w:val="22FF181D"/>
    <w:rsid w:val="23682C3D"/>
    <w:rsid w:val="24305A06"/>
    <w:rsid w:val="243A0633"/>
    <w:rsid w:val="24EB3C12"/>
    <w:rsid w:val="25A62FCD"/>
    <w:rsid w:val="26771097"/>
    <w:rsid w:val="27114611"/>
    <w:rsid w:val="27D76763"/>
    <w:rsid w:val="27E35340"/>
    <w:rsid w:val="27F07AFF"/>
    <w:rsid w:val="27F84639"/>
    <w:rsid w:val="2818512F"/>
    <w:rsid w:val="283755B5"/>
    <w:rsid w:val="29307BAB"/>
    <w:rsid w:val="29734327"/>
    <w:rsid w:val="2A0627CD"/>
    <w:rsid w:val="2A500260"/>
    <w:rsid w:val="2A7C48AC"/>
    <w:rsid w:val="2A815B3E"/>
    <w:rsid w:val="2C0930AE"/>
    <w:rsid w:val="2C3167C0"/>
    <w:rsid w:val="2CE56D7E"/>
    <w:rsid w:val="2D14599E"/>
    <w:rsid w:val="2D7C1CBC"/>
    <w:rsid w:val="2DAF2B82"/>
    <w:rsid w:val="2E504A9C"/>
    <w:rsid w:val="2E663E86"/>
    <w:rsid w:val="2F15064E"/>
    <w:rsid w:val="305A62E5"/>
    <w:rsid w:val="30890F6E"/>
    <w:rsid w:val="31E5120A"/>
    <w:rsid w:val="32613717"/>
    <w:rsid w:val="3334643D"/>
    <w:rsid w:val="337E239A"/>
    <w:rsid w:val="33B075F3"/>
    <w:rsid w:val="33B43F5E"/>
    <w:rsid w:val="33C749D9"/>
    <w:rsid w:val="348222AE"/>
    <w:rsid w:val="348C18F2"/>
    <w:rsid w:val="3651018A"/>
    <w:rsid w:val="36D62B27"/>
    <w:rsid w:val="374F22B1"/>
    <w:rsid w:val="37911A7B"/>
    <w:rsid w:val="37974F32"/>
    <w:rsid w:val="37C613A9"/>
    <w:rsid w:val="38CB7CAF"/>
    <w:rsid w:val="394305D3"/>
    <w:rsid w:val="39CB3D50"/>
    <w:rsid w:val="3A1A77DA"/>
    <w:rsid w:val="3AA358D1"/>
    <w:rsid w:val="3B4200A1"/>
    <w:rsid w:val="3BA26D92"/>
    <w:rsid w:val="3C08145D"/>
    <w:rsid w:val="3CAD59EE"/>
    <w:rsid w:val="3CC22E2B"/>
    <w:rsid w:val="3E6806FF"/>
    <w:rsid w:val="3EFE4C27"/>
    <w:rsid w:val="3FC63EBC"/>
    <w:rsid w:val="3FFF0C57"/>
    <w:rsid w:val="402173E0"/>
    <w:rsid w:val="40624D42"/>
    <w:rsid w:val="40A4381E"/>
    <w:rsid w:val="41735500"/>
    <w:rsid w:val="41902C60"/>
    <w:rsid w:val="41DA1EA3"/>
    <w:rsid w:val="41E86553"/>
    <w:rsid w:val="42FD0171"/>
    <w:rsid w:val="4396726F"/>
    <w:rsid w:val="43F14D5A"/>
    <w:rsid w:val="444461AB"/>
    <w:rsid w:val="44580936"/>
    <w:rsid w:val="44E4666D"/>
    <w:rsid w:val="460D7D13"/>
    <w:rsid w:val="461800A8"/>
    <w:rsid w:val="4670443B"/>
    <w:rsid w:val="46FA2178"/>
    <w:rsid w:val="471518C5"/>
    <w:rsid w:val="49555073"/>
    <w:rsid w:val="49B06B1E"/>
    <w:rsid w:val="4A360729"/>
    <w:rsid w:val="4A3B0ADD"/>
    <w:rsid w:val="4A9A27AA"/>
    <w:rsid w:val="4AE47726"/>
    <w:rsid w:val="4B007631"/>
    <w:rsid w:val="4B1C3A09"/>
    <w:rsid w:val="4B81758E"/>
    <w:rsid w:val="4C100E6F"/>
    <w:rsid w:val="4CA76FE4"/>
    <w:rsid w:val="4D422183"/>
    <w:rsid w:val="4D5C3245"/>
    <w:rsid w:val="4D667F84"/>
    <w:rsid w:val="4DA67EE9"/>
    <w:rsid w:val="4E102923"/>
    <w:rsid w:val="4EA51AD3"/>
    <w:rsid w:val="4EE71234"/>
    <w:rsid w:val="4FF5172F"/>
    <w:rsid w:val="50380E70"/>
    <w:rsid w:val="5042541A"/>
    <w:rsid w:val="50882E50"/>
    <w:rsid w:val="50AE6AA7"/>
    <w:rsid w:val="50D662AB"/>
    <w:rsid w:val="51332388"/>
    <w:rsid w:val="526F57C8"/>
    <w:rsid w:val="53CE4770"/>
    <w:rsid w:val="541E4FA6"/>
    <w:rsid w:val="544C3FBE"/>
    <w:rsid w:val="55036F75"/>
    <w:rsid w:val="557338D2"/>
    <w:rsid w:val="56601CA4"/>
    <w:rsid w:val="56EE6DC3"/>
    <w:rsid w:val="56F46A2F"/>
    <w:rsid w:val="57004191"/>
    <w:rsid w:val="57160908"/>
    <w:rsid w:val="57C02622"/>
    <w:rsid w:val="5851771E"/>
    <w:rsid w:val="585215FA"/>
    <w:rsid w:val="58C51D5A"/>
    <w:rsid w:val="59233F27"/>
    <w:rsid w:val="592A2449"/>
    <w:rsid w:val="594B23BF"/>
    <w:rsid w:val="59884D23"/>
    <w:rsid w:val="59E9439E"/>
    <w:rsid w:val="59F36CDF"/>
    <w:rsid w:val="5A2A081A"/>
    <w:rsid w:val="5A3A0C8C"/>
    <w:rsid w:val="5A783688"/>
    <w:rsid w:val="5A8B33BB"/>
    <w:rsid w:val="5AD05272"/>
    <w:rsid w:val="5B5221B9"/>
    <w:rsid w:val="5BB94CD4"/>
    <w:rsid w:val="5BBB6079"/>
    <w:rsid w:val="5C4F76AC"/>
    <w:rsid w:val="5CCE758F"/>
    <w:rsid w:val="5F813252"/>
    <w:rsid w:val="5F8D3732"/>
    <w:rsid w:val="5FB06BC5"/>
    <w:rsid w:val="60F021CA"/>
    <w:rsid w:val="61C03AE9"/>
    <w:rsid w:val="62561697"/>
    <w:rsid w:val="62FD6A68"/>
    <w:rsid w:val="63260F47"/>
    <w:rsid w:val="641F3CEF"/>
    <w:rsid w:val="64896817"/>
    <w:rsid w:val="655C3B7E"/>
    <w:rsid w:val="65BB4A6B"/>
    <w:rsid w:val="65CC4B2E"/>
    <w:rsid w:val="66344A05"/>
    <w:rsid w:val="66351FB5"/>
    <w:rsid w:val="6640216C"/>
    <w:rsid w:val="67095D94"/>
    <w:rsid w:val="6765162E"/>
    <w:rsid w:val="67BA3F18"/>
    <w:rsid w:val="67DC5256"/>
    <w:rsid w:val="684F6F22"/>
    <w:rsid w:val="68831B76"/>
    <w:rsid w:val="69D83210"/>
    <w:rsid w:val="6A3E2960"/>
    <w:rsid w:val="6B2A55B6"/>
    <w:rsid w:val="6CA54F08"/>
    <w:rsid w:val="6CF52628"/>
    <w:rsid w:val="6D5369F3"/>
    <w:rsid w:val="6DE74955"/>
    <w:rsid w:val="6EC30F1E"/>
    <w:rsid w:val="6F15104E"/>
    <w:rsid w:val="704E7ABA"/>
    <w:rsid w:val="70E3593B"/>
    <w:rsid w:val="71AF7537"/>
    <w:rsid w:val="72035AD5"/>
    <w:rsid w:val="72BB3CBA"/>
    <w:rsid w:val="745930EE"/>
    <w:rsid w:val="750C48E9"/>
    <w:rsid w:val="75D7232A"/>
    <w:rsid w:val="763B583E"/>
    <w:rsid w:val="777A0A9F"/>
    <w:rsid w:val="77A94215"/>
    <w:rsid w:val="780D225D"/>
    <w:rsid w:val="782C0658"/>
    <w:rsid w:val="785B21C7"/>
    <w:rsid w:val="78A738B1"/>
    <w:rsid w:val="78C20243"/>
    <w:rsid w:val="79B154CE"/>
    <w:rsid w:val="79D10578"/>
    <w:rsid w:val="7A4E1530"/>
    <w:rsid w:val="7A732521"/>
    <w:rsid w:val="7A921617"/>
    <w:rsid w:val="7AE70843"/>
    <w:rsid w:val="7BA45110"/>
    <w:rsid w:val="7BD74379"/>
    <w:rsid w:val="7C5E5D9B"/>
    <w:rsid w:val="7CCA16C9"/>
    <w:rsid w:val="7D297B14"/>
    <w:rsid w:val="7DCF4A14"/>
    <w:rsid w:val="7E3838F6"/>
    <w:rsid w:val="7E452D7B"/>
    <w:rsid w:val="7EB550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qFormat="1" w:uiPriority="39" w:name="toc 4"/>
    <w:lsdException w:qFormat="1"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b/>
      <w:bCs/>
      <w:kern w:val="44"/>
      <w:sz w:val="48"/>
      <w:szCs w:val="48"/>
    </w:rPr>
  </w:style>
  <w:style w:type="paragraph" w:styleId="3">
    <w:name w:val="heading 2"/>
    <w:basedOn w:val="1"/>
    <w:next w:val="1"/>
    <w:link w:val="91"/>
    <w:unhideWhenUsed/>
    <w:qFormat/>
    <w:uiPriority w:val="9"/>
    <w:pPr>
      <w:keepNext/>
      <w:keepLines/>
      <w:spacing w:before="260" w:after="260" w:line="416" w:lineRule="atLeast"/>
      <w:outlineLvl w:val="1"/>
    </w:pPr>
    <w:rPr>
      <w:rFonts w:asciiTheme="majorHAnsi" w:hAnsiTheme="majorHAnsi" w:eastAsiaTheme="majorEastAsia" w:cstheme="majorBidi"/>
      <w:b/>
      <w:bCs/>
      <w:sz w:val="32"/>
      <w:szCs w:val="32"/>
    </w:rPr>
  </w:style>
  <w:style w:type="paragraph" w:styleId="4">
    <w:name w:val="heading 3"/>
    <w:basedOn w:val="1"/>
    <w:next w:val="1"/>
    <w:link w:val="82"/>
    <w:unhideWhenUsed/>
    <w:qFormat/>
    <w:uiPriority w:val="9"/>
    <w:pPr>
      <w:keepNext/>
      <w:keepLines/>
      <w:adjustRightInd/>
      <w:spacing w:line="240" w:lineRule="auto"/>
      <w:outlineLvl w:val="2"/>
    </w:pPr>
    <w:rPr>
      <w:rFonts w:ascii="黑体" w:hAnsi="黑体" w:eastAsia="黑体"/>
      <w:bCs/>
      <w:szCs w:val="32"/>
      <w:lang w:val="zh-CN"/>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86"/>
    <w:semiHidden/>
    <w:unhideWhenUsed/>
    <w:qFormat/>
    <w:uiPriority w:val="99"/>
    <w:pPr>
      <w:jc w:val="left"/>
    </w:pPr>
  </w:style>
  <w:style w:type="paragraph" w:styleId="6">
    <w:name w:val="toc 5"/>
    <w:basedOn w:val="1"/>
    <w:next w:val="1"/>
    <w:semiHidden/>
    <w:unhideWhenUsed/>
    <w:qFormat/>
    <w:uiPriority w:val="39"/>
    <w:pPr>
      <w:ind w:left="1680" w:leftChars="800"/>
    </w:pPr>
  </w:style>
  <w:style w:type="paragraph" w:styleId="7">
    <w:name w:val="Date"/>
    <w:basedOn w:val="1"/>
    <w:next w:val="1"/>
    <w:link w:val="85"/>
    <w:semiHidden/>
    <w:unhideWhenUsed/>
    <w:qFormat/>
    <w:uiPriority w:val="99"/>
    <w:pPr>
      <w:ind w:left="100" w:leftChars="2500"/>
    </w:pPr>
  </w:style>
  <w:style w:type="paragraph" w:styleId="8">
    <w:name w:val="Balloon Text"/>
    <w:basedOn w:val="1"/>
    <w:link w:val="90"/>
    <w:semiHidden/>
    <w:unhideWhenUsed/>
    <w:qFormat/>
    <w:uiPriority w:val="99"/>
    <w:pPr>
      <w:spacing w:line="240" w:lineRule="auto"/>
    </w:pPr>
    <w:rPr>
      <w:sz w:val="18"/>
      <w:szCs w:val="18"/>
    </w:rPr>
  </w:style>
  <w:style w:type="paragraph" w:styleId="9">
    <w:name w:val="footer"/>
    <w:basedOn w:val="1"/>
    <w:link w:val="23"/>
    <w:qFormat/>
    <w:uiPriority w:val="99"/>
    <w:pPr>
      <w:tabs>
        <w:tab w:val="center" w:pos="4153"/>
        <w:tab w:val="right" w:pos="8306"/>
      </w:tabs>
      <w:adjustRightInd/>
      <w:snapToGrid w:val="0"/>
      <w:spacing w:line="240" w:lineRule="auto"/>
      <w:jc w:val="right"/>
    </w:pPr>
    <w:rPr>
      <w:rFonts w:ascii="宋体"/>
      <w:sz w:val="18"/>
      <w:szCs w:val="18"/>
    </w:rPr>
  </w:style>
  <w:style w:type="paragraph" w:styleId="10">
    <w:name w:val="header"/>
    <w:basedOn w:val="1"/>
    <w:link w:val="24"/>
    <w:qFormat/>
    <w:uiPriority w:val="99"/>
    <w:pPr>
      <w:tabs>
        <w:tab w:val="center" w:pos="4153"/>
        <w:tab w:val="right" w:pos="8306"/>
      </w:tabs>
      <w:adjustRightInd/>
      <w:snapToGrid w:val="0"/>
      <w:jc w:val="center"/>
    </w:pPr>
    <w:rPr>
      <w:sz w:val="18"/>
      <w:szCs w:val="18"/>
    </w:rPr>
  </w:style>
  <w:style w:type="paragraph" w:styleId="11">
    <w:name w:val="toc 1"/>
    <w:basedOn w:val="1"/>
    <w:next w:val="1"/>
    <w:unhideWhenUsed/>
    <w:qFormat/>
    <w:uiPriority w:val="39"/>
    <w:rPr>
      <w:rFonts w:ascii="宋体"/>
    </w:rPr>
  </w:style>
  <w:style w:type="paragraph" w:styleId="12">
    <w:name w:val="toc 4"/>
    <w:basedOn w:val="1"/>
    <w:next w:val="1"/>
    <w:semiHidden/>
    <w:unhideWhenUsed/>
    <w:qFormat/>
    <w:uiPriority w:val="39"/>
    <w:pPr>
      <w:ind w:left="1260" w:leftChars="600"/>
    </w:pPr>
  </w:style>
  <w:style w:type="paragraph" w:styleId="13">
    <w:name w:val="footnote text"/>
    <w:basedOn w:val="1"/>
    <w:link w:val="79"/>
    <w:qFormat/>
    <w:uiPriority w:val="0"/>
    <w:pPr>
      <w:numPr>
        <w:ilvl w:val="0"/>
        <w:numId w:val="1"/>
      </w:numPr>
      <w:adjustRightInd/>
      <w:snapToGrid w:val="0"/>
      <w:spacing w:line="240" w:lineRule="auto"/>
      <w:jc w:val="left"/>
    </w:pPr>
    <w:rPr>
      <w:rFonts w:ascii="宋体" w:hAnsi="Times New Roman"/>
      <w:sz w:val="18"/>
      <w:szCs w:val="18"/>
    </w:rPr>
  </w:style>
  <w:style w:type="paragraph" w:styleId="14">
    <w:name w:val="toc 2"/>
    <w:basedOn w:val="1"/>
    <w:next w:val="1"/>
    <w:unhideWhenUsed/>
    <w:qFormat/>
    <w:uiPriority w:val="39"/>
    <w:pPr>
      <w:ind w:left="420" w:leftChars="200"/>
    </w:pPr>
  </w:style>
  <w:style w:type="paragraph" w:styleId="15">
    <w:name w:val="Normal (Web)"/>
    <w:basedOn w:val="1"/>
    <w:semiHidden/>
    <w:unhideWhenUsed/>
    <w:qFormat/>
    <w:uiPriority w:val="99"/>
    <w:pPr>
      <w:widowControl/>
      <w:adjustRightInd/>
      <w:spacing w:before="100" w:beforeAutospacing="1" w:after="100" w:afterAutospacing="1" w:line="240" w:lineRule="auto"/>
      <w:jc w:val="left"/>
    </w:pPr>
    <w:rPr>
      <w:rFonts w:ascii="宋体" w:hAnsi="宋体" w:cs="宋体"/>
      <w:kern w:val="0"/>
      <w:sz w:val="24"/>
      <w:szCs w:val="24"/>
    </w:rPr>
  </w:style>
  <w:style w:type="paragraph" w:styleId="16">
    <w:name w:val="annotation subject"/>
    <w:basedOn w:val="5"/>
    <w:next w:val="5"/>
    <w:link w:val="87"/>
    <w:semiHidden/>
    <w:unhideWhenUsed/>
    <w:qFormat/>
    <w:uiPriority w:val="99"/>
    <w:rPr>
      <w:b/>
      <w:bCs/>
    </w:rPr>
  </w:style>
  <w:style w:type="table" w:styleId="18">
    <w:name w:val="Table Grid"/>
    <w:basedOn w:val="1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22"/>
    <w:rPr>
      <w:b/>
    </w:rPr>
  </w:style>
  <w:style w:type="character" w:styleId="21">
    <w:name w:val="Hyperlink"/>
    <w:qFormat/>
    <w:uiPriority w:val="99"/>
    <w:rPr>
      <w:rFonts w:ascii="宋体" w:hAnsi="Times New Roman" w:eastAsia="宋体"/>
      <w:color w:val="auto"/>
      <w:spacing w:val="0"/>
      <w:w w:val="100"/>
      <w:position w:val="0"/>
      <w:sz w:val="21"/>
      <w:u w:val="none"/>
      <w:vertAlign w:val="baseline"/>
    </w:rPr>
  </w:style>
  <w:style w:type="character" w:styleId="22">
    <w:name w:val="annotation reference"/>
    <w:semiHidden/>
    <w:qFormat/>
    <w:uiPriority w:val="0"/>
    <w:rPr>
      <w:sz w:val="21"/>
      <w:szCs w:val="21"/>
    </w:rPr>
  </w:style>
  <w:style w:type="character" w:customStyle="1" w:styleId="23">
    <w:name w:val="页脚 字符"/>
    <w:basedOn w:val="19"/>
    <w:link w:val="9"/>
    <w:qFormat/>
    <w:uiPriority w:val="99"/>
    <w:rPr>
      <w:rFonts w:ascii="宋体" w:hAnsi="Calibri" w:eastAsia="宋体" w:cs="Times New Roman"/>
      <w:sz w:val="18"/>
      <w:szCs w:val="18"/>
    </w:rPr>
  </w:style>
  <w:style w:type="character" w:customStyle="1" w:styleId="24">
    <w:name w:val="页眉 字符"/>
    <w:basedOn w:val="19"/>
    <w:link w:val="10"/>
    <w:qFormat/>
    <w:uiPriority w:val="99"/>
    <w:rPr>
      <w:rFonts w:ascii="Calibri" w:hAnsi="Calibri" w:eastAsia="宋体" w:cs="Times New Roman"/>
      <w:sz w:val="18"/>
      <w:szCs w:val="18"/>
    </w:rPr>
  </w:style>
  <w:style w:type="paragraph" w:customStyle="1" w:styleId="25">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26">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27">
    <w:name w:val="标准文件_段"/>
    <w:link w:val="42"/>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8">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29">
    <w:name w:val="标准文件_二级条标题"/>
    <w:next w:val="27"/>
    <w:qFormat/>
    <w:uiPriority w:val="0"/>
    <w:pPr>
      <w:widowControl w:val="0"/>
      <w:numPr>
        <w:ilvl w:val="3"/>
        <w:numId w:val="2"/>
      </w:numPr>
      <w:spacing w:beforeLines="50" w:afterLines="50"/>
      <w:jc w:val="both"/>
      <w:outlineLvl w:val="2"/>
    </w:pPr>
    <w:rPr>
      <w:rFonts w:ascii="黑体" w:hAnsi="Times New Roman" w:eastAsia="黑体" w:cs="Times New Roman"/>
      <w:sz w:val="21"/>
      <w:lang w:val="en-US" w:eastAsia="zh-CN" w:bidi="ar-SA"/>
    </w:rPr>
  </w:style>
  <w:style w:type="paragraph" w:customStyle="1" w:styleId="30">
    <w:name w:val="标准文件_前言、引言标题"/>
    <w:next w:val="1"/>
    <w:qFormat/>
    <w:uiPriority w:val="0"/>
    <w:pPr>
      <w:numPr>
        <w:ilvl w:val="0"/>
        <w:numId w:val="3"/>
      </w:numPr>
      <w:shd w:val="clear" w:color="FFFFFF" w:fill="FFFFFF"/>
      <w:spacing w:afterLines="150"/>
      <w:jc w:val="center"/>
      <w:outlineLvl w:val="0"/>
    </w:pPr>
    <w:rPr>
      <w:rFonts w:ascii="黑体" w:hAnsi="Times New Roman" w:eastAsia="黑体" w:cs="Times New Roman"/>
      <w:sz w:val="32"/>
      <w:lang w:val="en-US" w:eastAsia="zh-CN" w:bidi="ar-SA"/>
    </w:rPr>
  </w:style>
  <w:style w:type="paragraph" w:customStyle="1" w:styleId="31">
    <w:name w:val="标准文件_目录标题"/>
    <w:basedOn w:val="1"/>
    <w:qFormat/>
    <w:uiPriority w:val="0"/>
    <w:pPr>
      <w:spacing w:afterLines="150" w:line="240" w:lineRule="auto"/>
      <w:jc w:val="center"/>
    </w:pPr>
    <w:rPr>
      <w:rFonts w:ascii="黑体" w:eastAsia="黑体"/>
      <w:sz w:val="32"/>
    </w:rPr>
  </w:style>
  <w:style w:type="paragraph" w:customStyle="1" w:styleId="32">
    <w:name w:val="标准文件_三级条标题"/>
    <w:basedOn w:val="29"/>
    <w:next w:val="27"/>
    <w:qFormat/>
    <w:uiPriority w:val="0"/>
    <w:pPr>
      <w:widowControl/>
      <w:numPr>
        <w:ilvl w:val="4"/>
      </w:numPr>
      <w:outlineLvl w:val="3"/>
    </w:pPr>
  </w:style>
  <w:style w:type="paragraph" w:customStyle="1" w:styleId="33">
    <w:name w:val="标准文件_四级条标题"/>
    <w:next w:val="27"/>
    <w:qFormat/>
    <w:uiPriority w:val="0"/>
    <w:pPr>
      <w:widowControl w:val="0"/>
      <w:numPr>
        <w:ilvl w:val="5"/>
        <w:numId w:val="2"/>
      </w:numPr>
      <w:spacing w:beforeLines="50" w:afterLines="50"/>
      <w:jc w:val="both"/>
      <w:outlineLvl w:val="4"/>
    </w:pPr>
    <w:rPr>
      <w:rFonts w:ascii="黑体" w:hAnsi="Times New Roman" w:eastAsia="黑体" w:cs="Times New Roman"/>
      <w:sz w:val="21"/>
      <w:lang w:val="en-US" w:eastAsia="zh-CN" w:bidi="ar-SA"/>
    </w:rPr>
  </w:style>
  <w:style w:type="paragraph" w:customStyle="1" w:styleId="34">
    <w:name w:val="标准文件_五级条标题"/>
    <w:next w:val="27"/>
    <w:qFormat/>
    <w:uiPriority w:val="0"/>
    <w:pPr>
      <w:widowControl w:val="0"/>
      <w:numPr>
        <w:ilvl w:val="6"/>
        <w:numId w:val="2"/>
      </w:numPr>
      <w:spacing w:beforeLines="50" w:afterLines="50"/>
      <w:jc w:val="both"/>
      <w:outlineLvl w:val="5"/>
    </w:pPr>
    <w:rPr>
      <w:rFonts w:ascii="黑体" w:hAnsi="Times New Roman" w:eastAsia="黑体" w:cs="Times New Roman"/>
      <w:sz w:val="21"/>
      <w:lang w:val="en-US" w:eastAsia="zh-CN" w:bidi="ar-SA"/>
    </w:rPr>
  </w:style>
  <w:style w:type="paragraph" w:customStyle="1" w:styleId="35">
    <w:name w:val="标准文件_章标题"/>
    <w:next w:val="27"/>
    <w:qFormat/>
    <w:uiPriority w:val="0"/>
    <w:pPr>
      <w:numPr>
        <w:ilvl w:val="1"/>
        <w:numId w:val="2"/>
      </w:numPr>
      <w:spacing w:beforeLines="100" w:afterLines="100"/>
      <w:jc w:val="both"/>
      <w:outlineLvl w:val="0"/>
    </w:pPr>
    <w:rPr>
      <w:rFonts w:ascii="黑体" w:hAnsi="Times New Roman" w:eastAsia="黑体" w:cs="Times New Roman"/>
      <w:sz w:val="21"/>
      <w:lang w:val="en-US" w:eastAsia="zh-CN" w:bidi="ar-SA"/>
    </w:rPr>
  </w:style>
  <w:style w:type="paragraph" w:customStyle="1" w:styleId="36">
    <w:name w:val="标准文件_一级条标题"/>
    <w:basedOn w:val="35"/>
    <w:next w:val="27"/>
    <w:qFormat/>
    <w:uiPriority w:val="0"/>
    <w:pPr>
      <w:numPr>
        <w:ilvl w:val="2"/>
      </w:numPr>
      <w:spacing w:beforeLines="50" w:afterLines="50"/>
      <w:outlineLvl w:val="1"/>
    </w:pPr>
  </w:style>
  <w:style w:type="paragraph" w:customStyle="1" w:styleId="37">
    <w:name w:val="标准文件_正文表标题"/>
    <w:next w:val="27"/>
    <w:qFormat/>
    <w:uiPriority w:val="0"/>
    <w:pPr>
      <w:numPr>
        <w:ilvl w:val="0"/>
        <w:numId w:val="4"/>
      </w:numPr>
      <w:tabs>
        <w:tab w:val="left" w:pos="0"/>
      </w:tabs>
      <w:spacing w:beforeLines="50" w:afterLines="50"/>
      <w:jc w:val="center"/>
    </w:pPr>
    <w:rPr>
      <w:rFonts w:ascii="黑体" w:hAnsi="Times New Roman" w:eastAsia="黑体" w:cs="Times New Roman"/>
      <w:sz w:val="21"/>
      <w:lang w:val="en-US" w:eastAsia="zh-CN" w:bidi="ar-SA"/>
    </w:rPr>
  </w:style>
  <w:style w:type="paragraph" w:customStyle="1" w:styleId="38">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39">
    <w:name w:val="其他发布部门"/>
    <w:basedOn w:val="1"/>
    <w:qFormat/>
    <w:uiPriority w:val="0"/>
    <w:pPr>
      <w:framePr w:w="7433" w:h="585" w:hRule="exact" w:hSpace="180" w:vSpace="180" w:wrap="around" w:vAnchor="margin" w:hAnchor="margin" w:xAlign="center" w:y="14401" w:anchorLock="1"/>
      <w:widowControl/>
      <w:adjustRightInd/>
      <w:spacing w:line="0" w:lineRule="atLeast"/>
      <w:jc w:val="center"/>
    </w:pPr>
    <w:rPr>
      <w:rFonts w:ascii="黑体" w:hAnsi="Times New Roman" w:eastAsia="黑体"/>
      <w:w w:val="135"/>
      <w:kern w:val="0"/>
      <w:sz w:val="36"/>
      <w:szCs w:val="20"/>
    </w:rPr>
  </w:style>
  <w:style w:type="paragraph" w:customStyle="1" w:styleId="40">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41">
    <w:name w:val="标准文件_正文标准名称"/>
    <w:qFormat/>
    <w:uiPriority w:val="0"/>
    <w:pPr>
      <w:spacing w:after="640" w:line="400" w:lineRule="exact"/>
      <w:jc w:val="center"/>
    </w:pPr>
    <w:rPr>
      <w:rFonts w:ascii="黑体" w:hAnsi="黑体" w:eastAsia="黑体" w:cs="Times New Roman"/>
      <w:kern w:val="2"/>
      <w:sz w:val="32"/>
      <w:szCs w:val="32"/>
      <w:lang w:val="en-US" w:eastAsia="zh-CN" w:bidi="ar-SA"/>
    </w:rPr>
  </w:style>
  <w:style w:type="character" w:customStyle="1" w:styleId="42">
    <w:name w:val="标准文件_段 Char"/>
    <w:link w:val="27"/>
    <w:qFormat/>
    <w:uiPriority w:val="0"/>
    <w:rPr>
      <w:rFonts w:ascii="宋体" w:hAnsi="Times New Roman" w:eastAsia="宋体" w:cs="Times New Roman"/>
      <w:kern w:val="0"/>
      <w:szCs w:val="20"/>
    </w:rPr>
  </w:style>
  <w:style w:type="paragraph" w:customStyle="1" w:styleId="43">
    <w:name w:val="其他发布日期"/>
    <w:basedOn w:val="1"/>
    <w:qFormat/>
    <w:uiPriority w:val="0"/>
    <w:pPr>
      <w:framePr w:w="3997" w:h="471" w:hRule="exact" w:vSpace="181" w:wrap="around" w:vAnchor="page" w:hAnchor="page" w:x="1419" w:y="14097" w:anchorLock="1"/>
      <w:widowControl/>
      <w:adjustRightInd/>
      <w:spacing w:line="240" w:lineRule="auto"/>
      <w:jc w:val="left"/>
    </w:pPr>
    <w:rPr>
      <w:rFonts w:ascii="Times New Roman" w:hAnsi="Times New Roman" w:eastAsia="黑体"/>
      <w:kern w:val="0"/>
      <w:sz w:val="28"/>
      <w:szCs w:val="20"/>
    </w:rPr>
  </w:style>
  <w:style w:type="paragraph" w:customStyle="1" w:styleId="44">
    <w:name w:val="其他实施日期"/>
    <w:basedOn w:val="1"/>
    <w:qFormat/>
    <w:uiPriority w:val="0"/>
    <w:pPr>
      <w:framePr w:w="3997" w:h="471" w:hRule="exact" w:vSpace="181" w:wrap="around" w:vAnchor="page" w:hAnchor="page" w:x="7089" w:y="14097" w:anchorLock="1"/>
      <w:widowControl/>
      <w:adjustRightInd/>
      <w:spacing w:line="240" w:lineRule="auto"/>
      <w:jc w:val="right"/>
    </w:pPr>
    <w:rPr>
      <w:rFonts w:ascii="Times New Roman" w:hAnsi="Times New Roman" w:eastAsia="黑体"/>
      <w:kern w:val="0"/>
      <w:sz w:val="28"/>
      <w:szCs w:val="20"/>
    </w:rPr>
  </w:style>
  <w:style w:type="paragraph" w:customStyle="1" w:styleId="45">
    <w:name w:val="标准文件_文件编号"/>
    <w:basedOn w:val="27"/>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46">
    <w:name w:val="标准文件_替换文件编号"/>
    <w:basedOn w:val="45"/>
    <w:qFormat/>
    <w:uiPriority w:val="0"/>
    <w:pPr>
      <w:spacing w:before="57"/>
    </w:pPr>
    <w:rPr>
      <w:sz w:val="21"/>
    </w:rPr>
  </w:style>
  <w:style w:type="paragraph" w:customStyle="1" w:styleId="47">
    <w:name w:val="标准文件_文件名称"/>
    <w:basedOn w:val="27"/>
    <w:next w:val="27"/>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48">
    <w:name w:val="标准文件_引言一级条标题"/>
    <w:basedOn w:val="27"/>
    <w:next w:val="27"/>
    <w:qFormat/>
    <w:uiPriority w:val="0"/>
    <w:pPr>
      <w:numPr>
        <w:ilvl w:val="1"/>
        <w:numId w:val="3"/>
      </w:numPr>
      <w:tabs>
        <w:tab w:val="left" w:pos="360"/>
      </w:tabs>
      <w:spacing w:beforeLines="50" w:afterLines="50"/>
      <w:ind w:firstLine="200" w:firstLineChars="0"/>
    </w:pPr>
    <w:rPr>
      <w:rFonts w:ascii="黑体" w:eastAsia="黑体"/>
    </w:rPr>
  </w:style>
  <w:style w:type="paragraph" w:customStyle="1" w:styleId="49">
    <w:name w:val="标准文件_引言二级条标题"/>
    <w:basedOn w:val="27"/>
    <w:next w:val="27"/>
    <w:qFormat/>
    <w:uiPriority w:val="0"/>
    <w:pPr>
      <w:numPr>
        <w:ilvl w:val="2"/>
        <w:numId w:val="3"/>
      </w:numPr>
      <w:tabs>
        <w:tab w:val="left" w:pos="360"/>
      </w:tabs>
      <w:spacing w:beforeLines="50" w:afterLines="50"/>
      <w:ind w:firstLine="200" w:firstLineChars="0"/>
    </w:pPr>
    <w:rPr>
      <w:rFonts w:ascii="黑体" w:eastAsia="黑体"/>
    </w:rPr>
  </w:style>
  <w:style w:type="paragraph" w:customStyle="1" w:styleId="50">
    <w:name w:val="标准文件_引言三级条标题"/>
    <w:basedOn w:val="27"/>
    <w:next w:val="27"/>
    <w:qFormat/>
    <w:uiPriority w:val="0"/>
    <w:pPr>
      <w:tabs>
        <w:tab w:val="left" w:pos="360"/>
      </w:tabs>
      <w:spacing w:beforeLines="50" w:afterLines="50"/>
      <w:ind w:firstLine="0" w:firstLineChars="0"/>
    </w:pPr>
    <w:rPr>
      <w:rFonts w:ascii="黑体" w:eastAsia="黑体"/>
    </w:rPr>
  </w:style>
  <w:style w:type="paragraph" w:customStyle="1" w:styleId="51">
    <w:name w:val="标准文件_引言四级条标题"/>
    <w:basedOn w:val="27"/>
    <w:next w:val="27"/>
    <w:qFormat/>
    <w:uiPriority w:val="0"/>
    <w:pPr>
      <w:numPr>
        <w:ilvl w:val="4"/>
        <w:numId w:val="3"/>
      </w:numPr>
      <w:tabs>
        <w:tab w:val="left" w:pos="360"/>
      </w:tabs>
      <w:spacing w:beforeLines="50" w:afterLines="50"/>
      <w:ind w:firstLine="200" w:firstLineChars="0"/>
    </w:pPr>
    <w:rPr>
      <w:rFonts w:ascii="黑体" w:eastAsia="黑体"/>
    </w:rPr>
  </w:style>
  <w:style w:type="paragraph" w:customStyle="1" w:styleId="52">
    <w:name w:val="标准文件_引言五级条标题"/>
    <w:basedOn w:val="27"/>
    <w:next w:val="27"/>
    <w:qFormat/>
    <w:uiPriority w:val="0"/>
    <w:pPr>
      <w:numPr>
        <w:ilvl w:val="5"/>
        <w:numId w:val="3"/>
      </w:numPr>
      <w:tabs>
        <w:tab w:val="left" w:pos="360"/>
      </w:tabs>
      <w:spacing w:beforeLines="50" w:afterLines="50"/>
      <w:ind w:firstLine="200" w:firstLineChars="0"/>
    </w:pPr>
    <w:rPr>
      <w:rFonts w:ascii="黑体" w:eastAsia="黑体"/>
    </w:rPr>
  </w:style>
  <w:style w:type="character" w:customStyle="1" w:styleId="53">
    <w:name w:val="发布"/>
    <w:basedOn w:val="19"/>
    <w:qFormat/>
    <w:uiPriority w:val="0"/>
    <w:rPr>
      <w:rFonts w:ascii="黑体" w:eastAsia="黑体"/>
      <w:spacing w:val="85"/>
      <w:w w:val="100"/>
      <w:position w:val="3"/>
      <w:sz w:val="28"/>
      <w:szCs w:val="28"/>
    </w:rPr>
  </w:style>
  <w:style w:type="character" w:styleId="54">
    <w:name w:val="Placeholder Text"/>
    <w:basedOn w:val="19"/>
    <w:semiHidden/>
    <w:qFormat/>
    <w:uiPriority w:val="99"/>
    <w:rPr>
      <w:color w:val="808080"/>
    </w:rPr>
  </w:style>
  <w:style w:type="paragraph" w:customStyle="1" w:styleId="55">
    <w:name w:val="二级条标题"/>
    <w:basedOn w:val="56"/>
    <w:next w:val="1"/>
    <w:qFormat/>
    <w:uiPriority w:val="0"/>
    <w:pPr>
      <w:numPr>
        <w:ilvl w:val="2"/>
      </w:numPr>
      <w:spacing w:before="50" w:after="50"/>
      <w:ind w:left="1843"/>
      <w:outlineLvl w:val="3"/>
    </w:pPr>
  </w:style>
  <w:style w:type="paragraph" w:customStyle="1" w:styleId="56">
    <w:name w:val="一级条标题"/>
    <w:next w:val="1"/>
    <w:qFormat/>
    <w:uiPriority w:val="0"/>
    <w:pPr>
      <w:numPr>
        <w:ilvl w:val="1"/>
        <w:numId w:val="5"/>
      </w:numPr>
      <w:spacing w:beforeLines="50" w:afterLines="50"/>
      <w:outlineLvl w:val="2"/>
    </w:pPr>
    <w:rPr>
      <w:rFonts w:ascii="黑体" w:hAnsi="Times New Roman" w:eastAsia="黑体" w:cs="Times New Roman"/>
      <w:sz w:val="21"/>
      <w:szCs w:val="21"/>
      <w:lang w:val="en-US" w:eastAsia="zh-CN" w:bidi="ar-SA"/>
    </w:rPr>
  </w:style>
  <w:style w:type="paragraph" w:customStyle="1" w:styleId="57">
    <w:name w:val="三级条标题"/>
    <w:basedOn w:val="55"/>
    <w:next w:val="1"/>
    <w:link w:val="80"/>
    <w:qFormat/>
    <w:uiPriority w:val="0"/>
    <w:pPr>
      <w:numPr>
        <w:ilvl w:val="3"/>
      </w:numPr>
      <w:outlineLvl w:val="4"/>
    </w:pPr>
  </w:style>
  <w:style w:type="paragraph" w:customStyle="1" w:styleId="58">
    <w:name w:val="四级条标题"/>
    <w:basedOn w:val="57"/>
    <w:next w:val="1"/>
    <w:qFormat/>
    <w:uiPriority w:val="0"/>
    <w:pPr>
      <w:numPr>
        <w:ilvl w:val="4"/>
      </w:numPr>
      <w:outlineLvl w:val="5"/>
    </w:pPr>
  </w:style>
  <w:style w:type="paragraph" w:customStyle="1" w:styleId="59">
    <w:name w:val="章标题"/>
    <w:next w:val="1"/>
    <w:qFormat/>
    <w:uiPriority w:val="0"/>
    <w:pPr>
      <w:numPr>
        <w:ilvl w:val="0"/>
        <w:numId w:val="5"/>
      </w:numPr>
      <w:spacing w:beforeLines="100" w:afterLines="100"/>
      <w:jc w:val="both"/>
      <w:outlineLvl w:val="1"/>
    </w:pPr>
    <w:rPr>
      <w:rFonts w:ascii="黑体" w:hAnsi="Times New Roman" w:eastAsia="黑体" w:cs="Times New Roman"/>
      <w:sz w:val="21"/>
      <w:lang w:val="en-US" w:eastAsia="zh-CN" w:bidi="ar-SA"/>
    </w:rPr>
  </w:style>
  <w:style w:type="paragraph" w:customStyle="1" w:styleId="60">
    <w:name w:val="标准文件_二级无标题"/>
    <w:basedOn w:val="29"/>
    <w:qFormat/>
    <w:uiPriority w:val="0"/>
    <w:pPr>
      <w:numPr>
        <w:numId w:val="3"/>
      </w:numPr>
      <w:spacing w:beforeLines="0" w:afterLines="0"/>
      <w:outlineLvl w:val="9"/>
    </w:pPr>
    <w:rPr>
      <w:rFonts w:ascii="宋体" w:eastAsia="宋体"/>
    </w:rPr>
  </w:style>
  <w:style w:type="paragraph" w:customStyle="1" w:styleId="61">
    <w:name w:val="标准文件_正文图标题"/>
    <w:next w:val="27"/>
    <w:qFormat/>
    <w:uiPriority w:val="0"/>
    <w:pPr>
      <w:spacing w:before="50" w:beforeLines="50" w:after="50" w:afterLines="50"/>
      <w:jc w:val="center"/>
    </w:pPr>
    <w:rPr>
      <w:rFonts w:ascii="黑体" w:hAnsi="Times New Roman" w:eastAsia="黑体" w:cs="Times New Roman"/>
      <w:sz w:val="21"/>
      <w:lang w:val="en-US" w:eastAsia="zh-CN" w:bidi="ar-SA"/>
    </w:rPr>
  </w:style>
  <w:style w:type="paragraph" w:customStyle="1" w:styleId="62">
    <w:name w:val="标准文件_附录标识"/>
    <w:next w:val="27"/>
    <w:qFormat/>
    <w:uiPriority w:val="0"/>
    <w:pPr>
      <w:numPr>
        <w:ilvl w:val="0"/>
        <w:numId w:val="6"/>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63">
    <w:name w:val="标准文件_附录一级条标题"/>
    <w:next w:val="27"/>
    <w:qFormat/>
    <w:uiPriority w:val="0"/>
    <w:pPr>
      <w:widowControl w:val="0"/>
      <w:numPr>
        <w:ilvl w:val="1"/>
        <w:numId w:val="6"/>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64">
    <w:name w:val="标准文件_附录二级条标题"/>
    <w:basedOn w:val="63"/>
    <w:next w:val="27"/>
    <w:qFormat/>
    <w:uiPriority w:val="0"/>
    <w:pPr>
      <w:widowControl/>
      <w:numPr>
        <w:ilvl w:val="2"/>
      </w:numPr>
      <w:wordWrap w:val="0"/>
      <w:overflowPunct w:val="0"/>
      <w:autoSpaceDE w:val="0"/>
      <w:autoSpaceDN w:val="0"/>
      <w:textAlignment w:val="baseline"/>
      <w:outlineLvl w:val="3"/>
    </w:pPr>
  </w:style>
  <w:style w:type="paragraph" w:customStyle="1" w:styleId="65">
    <w:name w:val="标准文件_附录三级条标题"/>
    <w:next w:val="27"/>
    <w:qFormat/>
    <w:uiPriority w:val="0"/>
    <w:pPr>
      <w:widowControl w:val="0"/>
      <w:numPr>
        <w:ilvl w:val="3"/>
        <w:numId w:val="6"/>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66">
    <w:name w:val="标准文件_附录四级条标题"/>
    <w:next w:val="27"/>
    <w:qFormat/>
    <w:uiPriority w:val="0"/>
    <w:pPr>
      <w:widowControl w:val="0"/>
      <w:numPr>
        <w:ilvl w:val="4"/>
        <w:numId w:val="6"/>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67">
    <w:name w:val="标准文件_附录五级条标题"/>
    <w:next w:val="27"/>
    <w:qFormat/>
    <w:uiPriority w:val="0"/>
    <w:pPr>
      <w:widowControl w:val="0"/>
      <w:numPr>
        <w:ilvl w:val="5"/>
        <w:numId w:val="6"/>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68">
    <w:name w:val="段"/>
    <w:link w:val="69"/>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69">
    <w:name w:val="段 Char"/>
    <w:link w:val="68"/>
    <w:qFormat/>
    <w:uiPriority w:val="0"/>
    <w:rPr>
      <w:rFonts w:ascii="宋体" w:hAnsi="Times New Roman" w:eastAsia="宋体" w:cs="Times New Roman"/>
      <w:kern w:val="0"/>
      <w:szCs w:val="20"/>
    </w:rPr>
  </w:style>
  <w:style w:type="paragraph" w:customStyle="1" w:styleId="70">
    <w:name w:val="附录一级条标题"/>
    <w:basedOn w:val="71"/>
    <w:next w:val="68"/>
    <w:qFormat/>
    <w:uiPriority w:val="0"/>
    <w:pPr>
      <w:autoSpaceDN w:val="0"/>
      <w:spacing w:beforeLines="50" w:afterLines="50"/>
      <w:outlineLvl w:val="2"/>
    </w:pPr>
  </w:style>
  <w:style w:type="paragraph" w:customStyle="1" w:styleId="71">
    <w:name w:val="附录章标题"/>
    <w:next w:val="68"/>
    <w:qFormat/>
    <w:uiPriority w:val="0"/>
    <w:pPr>
      <w:wordWrap w:val="0"/>
      <w:overflowPunct w:val="0"/>
      <w:autoSpaceDE w:val="0"/>
      <w:spacing w:beforeLines="100" w:afterLines="100"/>
      <w:jc w:val="both"/>
      <w:textAlignment w:val="baseline"/>
      <w:outlineLvl w:val="1"/>
    </w:pPr>
    <w:rPr>
      <w:rFonts w:ascii="黑体" w:hAnsi="Times New Roman" w:eastAsia="黑体" w:cs="Times New Roman"/>
      <w:kern w:val="21"/>
      <w:sz w:val="21"/>
      <w:lang w:val="en-US" w:eastAsia="zh-CN" w:bidi="ar-SA"/>
    </w:rPr>
  </w:style>
  <w:style w:type="paragraph" w:customStyle="1" w:styleId="72">
    <w:name w:val="附录图标号"/>
    <w:basedOn w:val="1"/>
    <w:qFormat/>
    <w:uiPriority w:val="0"/>
    <w:pPr>
      <w:keepNext/>
      <w:pageBreakBefore/>
      <w:widowControl/>
      <w:numPr>
        <w:ilvl w:val="0"/>
        <w:numId w:val="7"/>
      </w:numPr>
      <w:adjustRightInd/>
      <w:spacing w:line="14" w:lineRule="exact"/>
      <w:jc w:val="center"/>
      <w:outlineLvl w:val="0"/>
    </w:pPr>
    <w:rPr>
      <w:rFonts w:ascii="Times New Roman" w:hAnsi="Times New Roman"/>
      <w:color w:val="FFFFFF"/>
      <w:szCs w:val="24"/>
    </w:rPr>
  </w:style>
  <w:style w:type="paragraph" w:customStyle="1" w:styleId="73">
    <w:name w:val="附录标识"/>
    <w:basedOn w:val="1"/>
    <w:next w:val="68"/>
    <w:qFormat/>
    <w:uiPriority w:val="0"/>
    <w:pPr>
      <w:keepNext/>
      <w:widowControl/>
      <w:shd w:val="clear" w:color="FFFFFF" w:fill="FFFFFF"/>
      <w:tabs>
        <w:tab w:val="left" w:pos="6405"/>
      </w:tabs>
      <w:adjustRightInd/>
      <w:spacing w:before="640" w:after="280" w:line="240" w:lineRule="auto"/>
      <w:jc w:val="center"/>
      <w:outlineLvl w:val="0"/>
    </w:pPr>
    <w:rPr>
      <w:rFonts w:ascii="黑体" w:hAnsi="Times New Roman" w:eastAsia="黑体"/>
      <w:kern w:val="0"/>
      <w:szCs w:val="20"/>
    </w:rPr>
  </w:style>
  <w:style w:type="paragraph" w:customStyle="1" w:styleId="74">
    <w:name w:val="字母编号列项（一级）"/>
    <w:qFormat/>
    <w:uiPriority w:val="0"/>
    <w:pPr>
      <w:numPr>
        <w:ilvl w:val="0"/>
        <w:numId w:val="8"/>
      </w:numPr>
      <w:jc w:val="both"/>
    </w:pPr>
    <w:rPr>
      <w:rFonts w:ascii="宋体" w:hAnsi="Times New Roman" w:eastAsia="宋体" w:cs="Times New Roman"/>
      <w:sz w:val="21"/>
      <w:lang w:val="en-US" w:eastAsia="zh-CN" w:bidi="ar-SA"/>
    </w:rPr>
  </w:style>
  <w:style w:type="paragraph" w:customStyle="1" w:styleId="75">
    <w:name w:val="数字编号列项（二级）"/>
    <w:qFormat/>
    <w:uiPriority w:val="0"/>
    <w:pPr>
      <w:numPr>
        <w:ilvl w:val="1"/>
        <w:numId w:val="8"/>
      </w:numPr>
      <w:jc w:val="both"/>
    </w:pPr>
    <w:rPr>
      <w:rFonts w:ascii="宋体" w:hAnsi="Times New Roman" w:eastAsia="宋体" w:cs="Times New Roman"/>
      <w:sz w:val="21"/>
      <w:lang w:val="en-US" w:eastAsia="zh-CN" w:bidi="ar-SA"/>
    </w:rPr>
  </w:style>
  <w:style w:type="paragraph" w:customStyle="1" w:styleId="76">
    <w:name w:val="编号列项（三级）"/>
    <w:qFormat/>
    <w:uiPriority w:val="0"/>
    <w:pPr>
      <w:numPr>
        <w:ilvl w:val="2"/>
        <w:numId w:val="8"/>
      </w:numPr>
    </w:pPr>
    <w:rPr>
      <w:rFonts w:ascii="宋体" w:hAnsi="Times New Roman" w:eastAsia="宋体" w:cs="Times New Roman"/>
      <w:sz w:val="21"/>
      <w:lang w:val="en-US" w:eastAsia="zh-CN" w:bidi="ar-SA"/>
    </w:rPr>
  </w:style>
  <w:style w:type="paragraph" w:customStyle="1" w:styleId="77">
    <w:name w:val="附录图标题"/>
    <w:basedOn w:val="1"/>
    <w:next w:val="68"/>
    <w:qFormat/>
    <w:uiPriority w:val="0"/>
    <w:pPr>
      <w:numPr>
        <w:ilvl w:val="1"/>
        <w:numId w:val="7"/>
      </w:numPr>
      <w:adjustRightInd/>
      <w:spacing w:beforeLines="50" w:afterLines="50" w:line="240" w:lineRule="auto"/>
      <w:jc w:val="center"/>
    </w:pPr>
    <w:rPr>
      <w:rFonts w:ascii="黑体" w:hAnsi="Times New Roman" w:eastAsia="黑体"/>
    </w:rPr>
  </w:style>
  <w:style w:type="paragraph" w:customStyle="1" w:styleId="78">
    <w:name w:val="标准文件_一级无标题"/>
    <w:basedOn w:val="36"/>
    <w:qFormat/>
    <w:uiPriority w:val="0"/>
    <w:pPr>
      <w:numPr>
        <w:ilvl w:val="0"/>
        <w:numId w:val="0"/>
      </w:numPr>
      <w:spacing w:beforeLines="0" w:afterLines="0"/>
      <w:outlineLvl w:val="9"/>
    </w:pPr>
    <w:rPr>
      <w:rFonts w:ascii="宋体" w:eastAsia="宋体"/>
    </w:rPr>
  </w:style>
  <w:style w:type="character" w:customStyle="1" w:styleId="79">
    <w:name w:val="脚注文本 字符"/>
    <w:basedOn w:val="19"/>
    <w:link w:val="13"/>
    <w:qFormat/>
    <w:uiPriority w:val="0"/>
    <w:rPr>
      <w:rFonts w:ascii="宋体" w:hAnsi="Times New Roman" w:eastAsia="宋体" w:cs="Times New Roman"/>
      <w:sz w:val="18"/>
      <w:szCs w:val="18"/>
    </w:rPr>
  </w:style>
  <w:style w:type="character" w:customStyle="1" w:styleId="80">
    <w:name w:val="三级条标题 Char"/>
    <w:link w:val="57"/>
    <w:qFormat/>
    <w:uiPriority w:val="0"/>
    <w:rPr>
      <w:rFonts w:ascii="黑体" w:hAnsi="Times New Roman" w:eastAsia="黑体" w:cs="Times New Roman"/>
      <w:kern w:val="0"/>
      <w:szCs w:val="21"/>
    </w:rPr>
  </w:style>
  <w:style w:type="paragraph" w:customStyle="1" w:styleId="81">
    <w:name w:val="二级无"/>
    <w:basedOn w:val="55"/>
    <w:qFormat/>
    <w:uiPriority w:val="0"/>
    <w:pPr>
      <w:numPr>
        <w:ilvl w:val="0"/>
        <w:numId w:val="0"/>
      </w:numPr>
      <w:spacing w:beforeLines="0" w:afterLines="0"/>
    </w:pPr>
    <w:rPr>
      <w:rFonts w:ascii="宋体" w:eastAsia="宋体"/>
    </w:rPr>
  </w:style>
  <w:style w:type="character" w:customStyle="1" w:styleId="82">
    <w:name w:val="标题 3 字符"/>
    <w:basedOn w:val="19"/>
    <w:link w:val="4"/>
    <w:qFormat/>
    <w:uiPriority w:val="9"/>
    <w:rPr>
      <w:rFonts w:ascii="黑体" w:hAnsi="黑体" w:eastAsia="黑体" w:cs="Times New Roman"/>
      <w:bCs/>
      <w:szCs w:val="32"/>
      <w:lang w:val="zh-CN"/>
    </w:rPr>
  </w:style>
  <w:style w:type="paragraph" w:styleId="83">
    <w:name w:val="List Paragraph"/>
    <w:basedOn w:val="1"/>
    <w:qFormat/>
    <w:uiPriority w:val="34"/>
    <w:pPr>
      <w:adjustRightInd/>
      <w:spacing w:line="240" w:lineRule="auto"/>
      <w:ind w:firstLine="420" w:firstLineChars="200"/>
    </w:pPr>
    <w:rPr>
      <w:szCs w:val="22"/>
    </w:rPr>
  </w:style>
  <w:style w:type="paragraph" w:customStyle="1" w:styleId="84">
    <w:name w:val="标准文件_三级无标题"/>
    <w:basedOn w:val="32"/>
    <w:qFormat/>
    <w:uiPriority w:val="0"/>
    <w:pPr>
      <w:numPr>
        <w:ilvl w:val="0"/>
        <w:numId w:val="0"/>
      </w:numPr>
      <w:spacing w:beforeLines="0" w:afterLines="0"/>
      <w:outlineLvl w:val="9"/>
    </w:pPr>
    <w:rPr>
      <w:rFonts w:ascii="宋体" w:eastAsia="宋体"/>
    </w:rPr>
  </w:style>
  <w:style w:type="character" w:customStyle="1" w:styleId="85">
    <w:name w:val="日期 字符"/>
    <w:basedOn w:val="19"/>
    <w:link w:val="7"/>
    <w:semiHidden/>
    <w:qFormat/>
    <w:uiPriority w:val="99"/>
    <w:rPr>
      <w:rFonts w:ascii="Calibri" w:hAnsi="Calibri" w:eastAsia="宋体" w:cs="Times New Roman"/>
      <w:szCs w:val="21"/>
    </w:rPr>
  </w:style>
  <w:style w:type="character" w:customStyle="1" w:styleId="86">
    <w:name w:val="批注文字 字符"/>
    <w:basedOn w:val="19"/>
    <w:link w:val="5"/>
    <w:semiHidden/>
    <w:qFormat/>
    <w:uiPriority w:val="99"/>
    <w:rPr>
      <w:rFonts w:ascii="Calibri" w:hAnsi="Calibri" w:eastAsia="宋体" w:cs="Times New Roman"/>
      <w:szCs w:val="21"/>
    </w:rPr>
  </w:style>
  <w:style w:type="character" w:customStyle="1" w:styleId="87">
    <w:name w:val="批注主题 字符"/>
    <w:basedOn w:val="86"/>
    <w:link w:val="16"/>
    <w:semiHidden/>
    <w:qFormat/>
    <w:uiPriority w:val="99"/>
    <w:rPr>
      <w:rFonts w:ascii="Calibri" w:hAnsi="Calibri" w:eastAsia="宋体" w:cs="Times New Roman"/>
      <w:b/>
      <w:bCs/>
      <w:szCs w:val="21"/>
    </w:rPr>
  </w:style>
  <w:style w:type="table" w:customStyle="1" w:styleId="88">
    <w:name w:val="网格型1"/>
    <w:basedOn w:val="17"/>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9">
    <w:name w:val="修订1"/>
    <w:hidden/>
    <w:semiHidden/>
    <w:qFormat/>
    <w:uiPriority w:val="99"/>
    <w:rPr>
      <w:rFonts w:ascii="Calibri" w:hAnsi="Calibri" w:eastAsia="宋体" w:cs="Times New Roman"/>
      <w:kern w:val="2"/>
      <w:sz w:val="21"/>
      <w:szCs w:val="21"/>
      <w:lang w:val="en-US" w:eastAsia="zh-CN" w:bidi="ar-SA"/>
    </w:rPr>
  </w:style>
  <w:style w:type="character" w:customStyle="1" w:styleId="90">
    <w:name w:val="批注框文本 字符"/>
    <w:basedOn w:val="19"/>
    <w:link w:val="8"/>
    <w:semiHidden/>
    <w:qFormat/>
    <w:uiPriority w:val="99"/>
    <w:rPr>
      <w:rFonts w:ascii="Calibri" w:hAnsi="Calibri"/>
      <w:kern w:val="2"/>
      <w:sz w:val="18"/>
      <w:szCs w:val="18"/>
    </w:rPr>
  </w:style>
  <w:style w:type="character" w:customStyle="1" w:styleId="91">
    <w:name w:val="标题 2 字符"/>
    <w:basedOn w:val="19"/>
    <w:link w:val="3"/>
    <w:qFormat/>
    <w:uiPriority w:val="9"/>
    <w:rPr>
      <w:rFonts w:asciiTheme="majorHAnsi" w:hAnsiTheme="majorHAnsi" w:eastAsiaTheme="majorEastAsia" w:cstheme="majorBidi"/>
      <w:b/>
      <w:bCs/>
      <w:kern w:val="2"/>
      <w:sz w:val="32"/>
      <w:szCs w:val="32"/>
    </w:rPr>
  </w:style>
  <w:style w:type="table" w:customStyle="1" w:styleId="92">
    <w:name w:val="Table Normal"/>
    <w:semiHidden/>
    <w:unhideWhenUsed/>
    <w:qFormat/>
    <w:uiPriority w:val="0"/>
    <w:tblPr>
      <w:tblCellMar>
        <w:top w:w="0" w:type="dxa"/>
        <w:left w:w="0" w:type="dxa"/>
        <w:bottom w:w="0" w:type="dxa"/>
        <w:right w:w="0" w:type="dxa"/>
      </w:tblCellMar>
    </w:tblPr>
  </w:style>
  <w:style w:type="paragraph" w:customStyle="1" w:styleId="93">
    <w:name w:val="Table Text"/>
    <w:basedOn w:val="1"/>
    <w:semiHidden/>
    <w:qFormat/>
    <w:uiPriority w:val="0"/>
    <w:rPr>
      <w:rFonts w:ascii="Arial" w:hAnsi="Arial" w:eastAsia="Arial" w:cs="Arial"/>
      <w:lang w:eastAsia="en-US"/>
    </w:rPr>
  </w:style>
  <w:style w:type="paragraph" w:customStyle="1" w:styleId="94">
    <w:name w:val="公式行"/>
    <w:basedOn w:val="1"/>
    <w:qFormat/>
    <w:uiPriority w:val="0"/>
    <w:pPr>
      <w:tabs>
        <w:tab w:val="center" w:pos="4535"/>
        <w:tab w:val="right" w:pos="9071"/>
      </w:tabs>
      <w:autoSpaceDE w:val="0"/>
      <w:autoSpaceDN w:val="0"/>
      <w:spacing w:line="360" w:lineRule="auto"/>
    </w:p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glossaryDocument" Target="glossary/document.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AA4200051FB54D44942A687BA6A275D2"/>
        <w:style w:val=""/>
        <w:category>
          <w:name w:val="常规"/>
          <w:gallery w:val="placeholder"/>
        </w:category>
        <w:types>
          <w:type w:val="bbPlcHdr"/>
        </w:types>
        <w:behaviors>
          <w:behavior w:val="content"/>
        </w:behaviors>
        <w:description w:val=""/>
        <w:guid w:val="{EC7C7B98-AC23-493E-A99D-96022C763F87}"/>
      </w:docPartPr>
      <w:docPartBody>
        <w:p w14:paraId="0A1E026D">
          <w:pPr>
            <w:pStyle w:val="5"/>
            <w:rPr>
              <w:rFonts w:hint="eastAsia"/>
            </w:rPr>
          </w:pPr>
          <w:r>
            <w:rPr>
              <w:rStyle w:val="4"/>
              <w:rFonts w:hint="eastAsia"/>
            </w:rPr>
            <w:t>单击或点击此处输入文字。</w:t>
          </w:r>
        </w:p>
      </w:docPartBody>
    </w:docPart>
    <w:docPart>
      <w:docPartPr>
        <w:name w:val="{a820f640-dd06-415f-8581-63adfab36267}"/>
        <w:style w:val=""/>
        <w:category>
          <w:name w:val="常规"/>
          <w:gallery w:val="placeholder"/>
        </w:category>
        <w:types>
          <w:type w:val="bbPlcHdr"/>
        </w:types>
        <w:behaviors>
          <w:behavior w:val="content"/>
        </w:behaviors>
        <w:description w:val=""/>
        <w:guid w:val="{A820F640-DD06-415F-8581-63ADFAB36267}"/>
      </w:docPartPr>
      <w:docPartBody>
        <w:p w14:paraId="6CE5E450">
          <w:pPr>
            <w:pStyle w:val="6"/>
            <w:rPr>
              <w:rFonts w:hint="eastAsia"/>
            </w:rPr>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2E4"/>
    <w:rsid w:val="000165DE"/>
    <w:rsid w:val="00067EC6"/>
    <w:rsid w:val="00082A1E"/>
    <w:rsid w:val="0016334E"/>
    <w:rsid w:val="0017693B"/>
    <w:rsid w:val="00194F37"/>
    <w:rsid w:val="001E6FC9"/>
    <w:rsid w:val="002866D5"/>
    <w:rsid w:val="002D502A"/>
    <w:rsid w:val="002F326D"/>
    <w:rsid w:val="00342019"/>
    <w:rsid w:val="0040771F"/>
    <w:rsid w:val="004207B5"/>
    <w:rsid w:val="00440087"/>
    <w:rsid w:val="00474C59"/>
    <w:rsid w:val="004762E4"/>
    <w:rsid w:val="004A76AC"/>
    <w:rsid w:val="004F187E"/>
    <w:rsid w:val="00564B4C"/>
    <w:rsid w:val="00597F44"/>
    <w:rsid w:val="005C0EA9"/>
    <w:rsid w:val="005D0915"/>
    <w:rsid w:val="005E142D"/>
    <w:rsid w:val="005F167D"/>
    <w:rsid w:val="00663708"/>
    <w:rsid w:val="006663EA"/>
    <w:rsid w:val="00781637"/>
    <w:rsid w:val="007961EE"/>
    <w:rsid w:val="007A0917"/>
    <w:rsid w:val="007E0532"/>
    <w:rsid w:val="00804E5A"/>
    <w:rsid w:val="00822A54"/>
    <w:rsid w:val="00826E14"/>
    <w:rsid w:val="00831464"/>
    <w:rsid w:val="00831D62"/>
    <w:rsid w:val="00866211"/>
    <w:rsid w:val="008B0147"/>
    <w:rsid w:val="008D54B4"/>
    <w:rsid w:val="0097176A"/>
    <w:rsid w:val="00987E95"/>
    <w:rsid w:val="009A1FE4"/>
    <w:rsid w:val="00A52C85"/>
    <w:rsid w:val="00A662EE"/>
    <w:rsid w:val="00A9660B"/>
    <w:rsid w:val="00B24C1D"/>
    <w:rsid w:val="00B44DEB"/>
    <w:rsid w:val="00B92F48"/>
    <w:rsid w:val="00C0045E"/>
    <w:rsid w:val="00C05439"/>
    <w:rsid w:val="00C076AF"/>
    <w:rsid w:val="00C34FDE"/>
    <w:rsid w:val="00C874C1"/>
    <w:rsid w:val="00D03C7A"/>
    <w:rsid w:val="00D1471F"/>
    <w:rsid w:val="00D2598F"/>
    <w:rsid w:val="00D33985"/>
    <w:rsid w:val="00D7569C"/>
    <w:rsid w:val="00D87DF1"/>
    <w:rsid w:val="00DA33DE"/>
    <w:rsid w:val="00DD297C"/>
    <w:rsid w:val="00DD60B8"/>
    <w:rsid w:val="00E027C9"/>
    <w:rsid w:val="00E72FA6"/>
    <w:rsid w:val="00E92080"/>
    <w:rsid w:val="00E97DB3"/>
    <w:rsid w:val="00EA39DB"/>
    <w:rsid w:val="00EF00BB"/>
    <w:rsid w:val="00F05F28"/>
    <w:rsid w:val="00F14FFB"/>
    <w:rsid w:val="00F413C1"/>
    <w:rsid w:val="00F472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AA4200051FB54D44942A687BA6A275D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85F380A3A96F40F59D9F9F31001AAF3B"/>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287EC7B-874E-4A43-9EA1-B3591084CBF4}">
  <ds:schemaRefs/>
</ds:datastoreItem>
</file>

<file path=docProps/app.xml><?xml version="1.0" encoding="utf-8"?>
<Properties xmlns="http://schemas.openxmlformats.org/officeDocument/2006/extended-properties" xmlns:vt="http://schemas.openxmlformats.org/officeDocument/2006/docPropsVTypes">
  <Template>Normal</Template>
  <Pages>13</Pages>
  <Words>80</Words>
  <Characters>202</Characters>
  <Lines>51</Lines>
  <Paragraphs>14</Paragraphs>
  <TotalTime>27</TotalTime>
  <ScaleCrop>false</ScaleCrop>
  <LinksUpToDate>false</LinksUpToDate>
  <CharactersWithSpaces>221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2025-04-22T01:11:00Z</dcterms:created>
  <dc:creator>xu jingming</dc:creator>
  <cp:lastModifiedBy>金石</cp:lastModifiedBy>
  <cp:lastPrinted>2023-07-21T00:47:00Z</cp:lastPrinted>
  <dcterms:modified xsi:type="dcterms:W3CDTF">2026-11-05T07:04:46Z</dcterms:modified>
  <cp:revision>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76269193C9BE426C84659EBDBF0A22CE_13</vt:lpwstr>
  </property>
  <property fmtid="{D5CDD505-2E9C-101B-9397-08002B2CF9AE}" pid="4" name="KSOTemplateDocerSaveRecord">
    <vt:lpwstr>eyJoZGlkIjoiNjAyYjVmNDQwYjUyNjBiOGVmOWQyMmI5ZTk3NDY0YTkiLCJ1c2VySWQiOiI1MzU1NzIzOTEifQ==</vt:lpwstr>
  </property>
</Properties>
</file>