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A515CFF">
      <w:pPr>
        <w:spacing w:line="460" w:lineRule="exact"/>
        <w:rPr>
          <w:rFonts w:ascii="黑体" w:hAnsi="黑体" w:eastAsia="黑体"/>
          <w:b/>
          <w:sz w:val="28"/>
          <w:szCs w:val="28"/>
        </w:rPr>
      </w:pPr>
      <w:r>
        <w:rPr>
          <w:rFonts w:hint="eastAsia" w:ascii="黑体" w:hAnsi="黑体" w:eastAsia="黑体"/>
          <w:sz w:val="28"/>
          <w:szCs w:val="28"/>
        </w:rPr>
        <w:t>附件1</w:t>
      </w:r>
    </w:p>
    <w:p w14:paraId="46C0CB4A">
      <w:pPr>
        <w:spacing w:line="480" w:lineRule="exact"/>
        <w:jc w:val="center"/>
        <w:rPr>
          <w:rFonts w:ascii="黑体" w:hAnsi="黑体" w:eastAsia="黑体"/>
          <w:sz w:val="32"/>
          <w:szCs w:val="32"/>
        </w:rPr>
      </w:pPr>
      <w:r>
        <w:rPr>
          <w:rFonts w:hint="eastAsia" w:ascii="黑体" w:hAnsi="黑体" w:eastAsia="黑体"/>
          <w:sz w:val="32"/>
          <w:szCs w:val="32"/>
        </w:rPr>
        <w:t>各产品统计要求</w:t>
      </w:r>
    </w:p>
    <w:p w14:paraId="3AD86C16">
      <w:pPr>
        <w:adjustRightInd w:val="0"/>
        <w:snapToGrid w:val="0"/>
        <w:spacing w:line="300" w:lineRule="auto"/>
        <w:rPr>
          <w:rFonts w:ascii="Times New Roman" w:hAnsi="Times New Roman"/>
          <w:sz w:val="36"/>
          <w:szCs w:val="36"/>
        </w:rPr>
      </w:pPr>
    </w:p>
    <w:p w14:paraId="166226E8">
      <w:pPr>
        <w:adjustRightInd w:val="0"/>
        <w:snapToGrid w:val="0"/>
        <w:spacing w:line="300" w:lineRule="auto"/>
        <w:rPr>
          <w:rFonts w:ascii="Times New Roman" w:hAnsi="Times New Roman" w:eastAsia="黑体"/>
          <w:b/>
          <w:sz w:val="30"/>
          <w:szCs w:val="30"/>
        </w:rPr>
      </w:pPr>
      <w:r>
        <w:rPr>
          <w:rFonts w:hint="eastAsia" w:ascii="Times New Roman" w:hAnsi="Times New Roman" w:eastAsia="黑体"/>
          <w:b/>
          <w:sz w:val="30"/>
          <w:szCs w:val="30"/>
        </w:rPr>
        <w:t>1.</w:t>
      </w:r>
      <w:r>
        <w:rPr>
          <w:rFonts w:hint="eastAsia" w:ascii="Times New Roman" w:hAnsi="Times New Roman" w:eastAsia="黑体"/>
          <w:sz w:val="30"/>
          <w:szCs w:val="30"/>
        </w:rPr>
        <w:t>轮胎</w:t>
      </w:r>
    </w:p>
    <w:p w14:paraId="66FF08DD">
      <w:pPr>
        <w:adjustRightInd w:val="0"/>
        <w:snapToGrid w:val="0"/>
        <w:spacing w:line="300" w:lineRule="auto"/>
        <w:ind w:firstLine="560" w:firstLineChars="200"/>
        <w:rPr>
          <w:rFonts w:ascii="Times New Roman" w:hAnsi="Times New Roman" w:eastAsia="仿宋"/>
          <w:b/>
          <w:sz w:val="28"/>
          <w:szCs w:val="28"/>
        </w:rPr>
      </w:pPr>
      <w:r>
        <w:rPr>
          <w:rFonts w:hint="eastAsia" w:ascii="Times New Roman" w:hAnsi="Times New Roman" w:eastAsia="仿宋"/>
          <w:sz w:val="28"/>
          <w:szCs w:val="28"/>
        </w:rPr>
        <w:t>按照产品类型分别统计生产企业报告期内吨轮胎产品综合能源消耗量和万元产值能源消耗量（见表1）。统计范围和计算方法按照《轮胎单位产品能源消耗限额》（GB</w:t>
      </w:r>
      <w:r>
        <w:rPr>
          <w:rFonts w:hint="eastAsia" w:ascii="Times New Roman" w:hAnsi="Times New Roman" w:eastAsia="仿宋"/>
          <w:b/>
          <w:sz w:val="28"/>
          <w:szCs w:val="28"/>
        </w:rPr>
        <w:t xml:space="preserve"> </w:t>
      </w:r>
      <w:r>
        <w:rPr>
          <w:rFonts w:ascii="Times New Roman" w:hAnsi="Times New Roman" w:eastAsia="仿宋"/>
          <w:sz w:val="28"/>
          <w:szCs w:val="28"/>
        </w:rPr>
        <w:t>29449</w:t>
      </w:r>
      <w:r>
        <w:rPr>
          <w:rFonts w:hint="eastAsia" w:ascii="Times New Roman" w:hAnsi="Times New Roman" w:eastAsia="仿宋"/>
          <w:sz w:val="28"/>
          <w:szCs w:val="28"/>
        </w:rPr>
        <w:t>）的规定进行。</w:t>
      </w:r>
    </w:p>
    <w:p w14:paraId="0D3799BD">
      <w:pPr>
        <w:spacing w:line="360" w:lineRule="auto"/>
        <w:jc w:val="center"/>
        <w:rPr>
          <w:rFonts w:ascii="Times New Roman" w:hAnsi="Times New Roman" w:eastAsia="仿宋"/>
          <w:b/>
          <w:sz w:val="24"/>
          <w:szCs w:val="24"/>
        </w:rPr>
      </w:pPr>
      <w:r>
        <w:rPr>
          <w:rFonts w:hint="eastAsia" w:ascii="Times New Roman" w:hAnsi="Times New Roman" w:eastAsia="仿宋"/>
          <w:b/>
          <w:sz w:val="24"/>
          <w:szCs w:val="24"/>
        </w:rPr>
        <w:t>表1 轮胎单位产品综合能源消耗量和万元产值能耗量统计表</w:t>
      </w:r>
    </w:p>
    <w:p w14:paraId="7022FFD6">
      <w:pPr>
        <w:spacing w:line="360" w:lineRule="auto"/>
        <w:rPr>
          <w:rFonts w:ascii="Times New Roman" w:hAnsi="Times New Roman" w:eastAsia="仿宋"/>
          <w:b/>
          <w:sz w:val="24"/>
          <w:szCs w:val="24"/>
        </w:rPr>
      </w:pPr>
      <w:r>
        <w:rPr>
          <w:rFonts w:hint="eastAsia" w:ascii="Times New Roman" w:hAnsi="Times New Roman" w:eastAsia="仿宋"/>
          <w:b/>
          <w:sz w:val="24"/>
          <w:szCs w:val="24"/>
        </w:rPr>
        <w:t>单位：</w:t>
      </w:r>
      <w:r>
        <w:rPr>
          <w:rFonts w:hint="eastAsia" w:ascii="Times New Roman" w:hAnsi="Times New Roman" w:eastAsia="仿宋"/>
          <w:b/>
          <w:sz w:val="24"/>
          <w:szCs w:val="24"/>
          <w:u w:val="single"/>
        </w:rPr>
        <w:t xml:space="preserve">×××企业          </w:t>
      </w:r>
      <w:r>
        <w:rPr>
          <w:rFonts w:hint="eastAsia" w:ascii="Times New Roman" w:hAnsi="Times New Roman" w:eastAsia="仿宋"/>
          <w:b/>
          <w:sz w:val="24"/>
          <w:szCs w:val="24"/>
        </w:rPr>
        <w:t xml:space="preserve">         报告期：2024年1月1日—12月31日</w:t>
      </w:r>
    </w:p>
    <w:tbl>
      <w:tblPr>
        <w:tblStyle w:val="2"/>
        <w:tblW w:w="5000"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2147"/>
        <w:gridCol w:w="2557"/>
        <w:gridCol w:w="2386"/>
        <w:gridCol w:w="1432"/>
      </w:tblGrid>
      <w:tr w14:paraId="4431A8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260" w:type="pct"/>
            <w:vAlign w:val="center"/>
          </w:tcPr>
          <w:p w14:paraId="53D0468A">
            <w:pPr>
              <w:jc w:val="center"/>
              <w:rPr>
                <w:rFonts w:ascii="Times New Roman" w:hAnsi="Times New Roman" w:eastAsia="仿宋"/>
                <w:b/>
                <w:sz w:val="24"/>
                <w:szCs w:val="24"/>
              </w:rPr>
            </w:pPr>
            <w:r>
              <w:rPr>
                <w:rFonts w:hint="eastAsia" w:ascii="Times New Roman" w:hAnsi="Times New Roman" w:eastAsia="仿宋"/>
                <w:b/>
                <w:sz w:val="24"/>
                <w:szCs w:val="24"/>
              </w:rPr>
              <w:t>产品类型</w:t>
            </w:r>
          </w:p>
        </w:tc>
        <w:tc>
          <w:tcPr>
            <w:tcW w:w="1500" w:type="pct"/>
            <w:vAlign w:val="center"/>
          </w:tcPr>
          <w:p w14:paraId="4956B4E2">
            <w:pPr>
              <w:jc w:val="center"/>
              <w:rPr>
                <w:rFonts w:ascii="Times New Roman" w:hAnsi="Times New Roman" w:eastAsia="仿宋"/>
                <w:b/>
                <w:sz w:val="24"/>
                <w:szCs w:val="24"/>
              </w:rPr>
            </w:pPr>
            <w:r>
              <w:rPr>
                <w:rFonts w:hint="eastAsia" w:ascii="Times New Roman" w:hAnsi="Times New Roman" w:eastAsia="仿宋"/>
                <w:b/>
                <w:sz w:val="24"/>
                <w:szCs w:val="24"/>
              </w:rPr>
              <w:t>吨轮胎单位产品综合能耗（千克标准煤/吨）</w:t>
            </w:r>
          </w:p>
        </w:tc>
        <w:tc>
          <w:tcPr>
            <w:tcW w:w="1400" w:type="pct"/>
            <w:vAlign w:val="center"/>
          </w:tcPr>
          <w:p w14:paraId="158DC567">
            <w:pPr>
              <w:jc w:val="center"/>
              <w:rPr>
                <w:rFonts w:ascii="Times New Roman" w:hAnsi="Times New Roman" w:eastAsia="仿宋"/>
                <w:b/>
                <w:sz w:val="24"/>
                <w:szCs w:val="24"/>
              </w:rPr>
            </w:pPr>
            <w:r>
              <w:rPr>
                <w:rFonts w:hint="eastAsia" w:ascii="Times New Roman" w:hAnsi="Times New Roman" w:eastAsia="仿宋"/>
                <w:b/>
                <w:sz w:val="24"/>
                <w:szCs w:val="24"/>
              </w:rPr>
              <w:t>万元产值能耗量</w:t>
            </w:r>
          </w:p>
          <w:p w14:paraId="3FDC4E41">
            <w:pPr>
              <w:jc w:val="center"/>
              <w:rPr>
                <w:rFonts w:ascii="Times New Roman" w:hAnsi="Times New Roman" w:eastAsia="仿宋"/>
                <w:b/>
                <w:sz w:val="24"/>
                <w:szCs w:val="24"/>
              </w:rPr>
            </w:pPr>
            <w:r>
              <w:rPr>
                <w:rFonts w:hint="eastAsia" w:ascii="Times New Roman" w:hAnsi="Times New Roman" w:eastAsia="仿宋"/>
                <w:b/>
                <w:sz w:val="24"/>
                <w:szCs w:val="24"/>
              </w:rPr>
              <w:t>（千克标准煤/万元）</w:t>
            </w:r>
          </w:p>
        </w:tc>
        <w:tc>
          <w:tcPr>
            <w:tcW w:w="840" w:type="pct"/>
            <w:vAlign w:val="center"/>
          </w:tcPr>
          <w:p w14:paraId="738FE7DF">
            <w:pPr>
              <w:jc w:val="center"/>
              <w:rPr>
                <w:rFonts w:ascii="Times New Roman" w:hAnsi="Times New Roman" w:eastAsia="仿宋"/>
                <w:b/>
                <w:sz w:val="24"/>
                <w:szCs w:val="24"/>
              </w:rPr>
            </w:pPr>
            <w:r>
              <w:rPr>
                <w:rFonts w:hint="eastAsia" w:ascii="Times New Roman" w:hAnsi="Times New Roman" w:eastAsia="仿宋"/>
                <w:b/>
                <w:sz w:val="24"/>
                <w:szCs w:val="24"/>
              </w:rPr>
              <w:t>备注</w:t>
            </w:r>
          </w:p>
        </w:tc>
      </w:tr>
      <w:tr w14:paraId="0F548B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260" w:type="pct"/>
            <w:vAlign w:val="center"/>
          </w:tcPr>
          <w:p w14:paraId="7234601D">
            <w:pPr>
              <w:jc w:val="center"/>
              <w:rPr>
                <w:rFonts w:ascii="Times New Roman" w:hAnsi="Times New Roman" w:eastAsia="仿宋"/>
                <w:b/>
                <w:sz w:val="24"/>
                <w:szCs w:val="24"/>
              </w:rPr>
            </w:pPr>
            <w:r>
              <w:rPr>
                <w:rFonts w:hint="eastAsia" w:ascii="Times New Roman" w:hAnsi="Times New Roman" w:eastAsia="仿宋"/>
                <w:b/>
                <w:sz w:val="24"/>
                <w:szCs w:val="24"/>
              </w:rPr>
              <w:t>全钢子午线轮胎</w:t>
            </w:r>
          </w:p>
        </w:tc>
        <w:tc>
          <w:tcPr>
            <w:tcW w:w="1500" w:type="pct"/>
            <w:vAlign w:val="center"/>
          </w:tcPr>
          <w:p w14:paraId="1E0E2210">
            <w:pPr>
              <w:jc w:val="center"/>
              <w:rPr>
                <w:rFonts w:ascii="Times New Roman" w:hAnsi="Times New Roman" w:eastAsia="仿宋"/>
                <w:b/>
                <w:sz w:val="24"/>
                <w:szCs w:val="24"/>
              </w:rPr>
            </w:pPr>
          </w:p>
        </w:tc>
        <w:tc>
          <w:tcPr>
            <w:tcW w:w="1400" w:type="pct"/>
            <w:vAlign w:val="center"/>
          </w:tcPr>
          <w:p w14:paraId="237876A1">
            <w:pPr>
              <w:jc w:val="center"/>
              <w:rPr>
                <w:rFonts w:ascii="Times New Roman" w:hAnsi="Times New Roman" w:eastAsia="仿宋"/>
                <w:b/>
                <w:sz w:val="24"/>
                <w:szCs w:val="24"/>
              </w:rPr>
            </w:pPr>
          </w:p>
        </w:tc>
        <w:tc>
          <w:tcPr>
            <w:tcW w:w="840" w:type="pct"/>
            <w:vAlign w:val="center"/>
          </w:tcPr>
          <w:p w14:paraId="58015075">
            <w:pPr>
              <w:jc w:val="center"/>
              <w:rPr>
                <w:rFonts w:ascii="Times New Roman" w:hAnsi="Times New Roman" w:eastAsia="仿宋"/>
                <w:b/>
                <w:sz w:val="24"/>
                <w:szCs w:val="24"/>
              </w:rPr>
            </w:pPr>
          </w:p>
          <w:p w14:paraId="75958BA8">
            <w:pPr>
              <w:jc w:val="center"/>
              <w:rPr>
                <w:rFonts w:ascii="Times New Roman" w:hAnsi="Times New Roman" w:eastAsia="仿宋"/>
                <w:b/>
                <w:sz w:val="24"/>
                <w:szCs w:val="24"/>
              </w:rPr>
            </w:pPr>
          </w:p>
        </w:tc>
      </w:tr>
      <w:tr w14:paraId="2C6892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260" w:type="pct"/>
            <w:vAlign w:val="center"/>
          </w:tcPr>
          <w:p w14:paraId="4FFE00F9">
            <w:pPr>
              <w:jc w:val="center"/>
              <w:rPr>
                <w:rFonts w:ascii="Times New Roman" w:hAnsi="Times New Roman" w:eastAsia="仿宋"/>
                <w:b/>
                <w:sz w:val="24"/>
                <w:szCs w:val="24"/>
              </w:rPr>
            </w:pPr>
            <w:r>
              <w:rPr>
                <w:rFonts w:hint="eastAsia" w:ascii="Times New Roman" w:hAnsi="Times New Roman" w:eastAsia="仿宋"/>
                <w:b/>
                <w:sz w:val="24"/>
                <w:szCs w:val="24"/>
              </w:rPr>
              <w:t>半钢子午线轮胎</w:t>
            </w:r>
          </w:p>
        </w:tc>
        <w:tc>
          <w:tcPr>
            <w:tcW w:w="1500" w:type="pct"/>
            <w:vAlign w:val="center"/>
          </w:tcPr>
          <w:p w14:paraId="500C48DF">
            <w:pPr>
              <w:jc w:val="center"/>
              <w:rPr>
                <w:rFonts w:ascii="Times New Roman" w:hAnsi="Times New Roman" w:eastAsia="仿宋"/>
                <w:b/>
                <w:sz w:val="24"/>
                <w:szCs w:val="24"/>
              </w:rPr>
            </w:pPr>
          </w:p>
        </w:tc>
        <w:tc>
          <w:tcPr>
            <w:tcW w:w="1400" w:type="pct"/>
            <w:vAlign w:val="center"/>
          </w:tcPr>
          <w:p w14:paraId="53F696E9">
            <w:pPr>
              <w:jc w:val="center"/>
              <w:rPr>
                <w:rFonts w:ascii="Times New Roman" w:hAnsi="Times New Roman" w:eastAsia="仿宋"/>
                <w:b/>
                <w:sz w:val="24"/>
                <w:szCs w:val="24"/>
              </w:rPr>
            </w:pPr>
          </w:p>
        </w:tc>
        <w:tc>
          <w:tcPr>
            <w:tcW w:w="840" w:type="pct"/>
            <w:vAlign w:val="center"/>
          </w:tcPr>
          <w:p w14:paraId="43F3C00B">
            <w:pPr>
              <w:jc w:val="center"/>
              <w:rPr>
                <w:rFonts w:ascii="Times New Roman" w:hAnsi="Times New Roman" w:eastAsia="仿宋"/>
                <w:b/>
                <w:sz w:val="24"/>
                <w:szCs w:val="24"/>
              </w:rPr>
            </w:pPr>
          </w:p>
          <w:p w14:paraId="22C3D2DA">
            <w:pPr>
              <w:jc w:val="center"/>
              <w:rPr>
                <w:rFonts w:ascii="Times New Roman" w:hAnsi="Times New Roman" w:eastAsia="仿宋"/>
                <w:b/>
                <w:sz w:val="24"/>
                <w:szCs w:val="24"/>
              </w:rPr>
            </w:pPr>
          </w:p>
        </w:tc>
      </w:tr>
      <w:tr w14:paraId="4BD6D8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9" w:hRule="atLeast"/>
        </w:trPr>
        <w:tc>
          <w:tcPr>
            <w:tcW w:w="1260" w:type="pct"/>
            <w:vAlign w:val="center"/>
          </w:tcPr>
          <w:p w14:paraId="0C6D6E34">
            <w:pPr>
              <w:jc w:val="center"/>
              <w:rPr>
                <w:rFonts w:ascii="Times New Roman" w:hAnsi="Times New Roman" w:eastAsia="仿宋"/>
                <w:b/>
                <w:sz w:val="24"/>
                <w:szCs w:val="24"/>
              </w:rPr>
            </w:pPr>
            <w:r>
              <w:rPr>
                <w:rFonts w:hint="eastAsia" w:ascii="Times New Roman" w:hAnsi="Times New Roman" w:eastAsia="仿宋"/>
                <w:b/>
                <w:sz w:val="24"/>
                <w:szCs w:val="24"/>
              </w:rPr>
              <w:t>工程机械轮胎</w:t>
            </w:r>
          </w:p>
        </w:tc>
        <w:tc>
          <w:tcPr>
            <w:tcW w:w="1500" w:type="pct"/>
            <w:vAlign w:val="center"/>
          </w:tcPr>
          <w:p w14:paraId="64B5483D">
            <w:pPr>
              <w:jc w:val="center"/>
              <w:rPr>
                <w:rFonts w:ascii="Times New Roman" w:hAnsi="Times New Roman" w:eastAsia="仿宋"/>
                <w:b/>
                <w:sz w:val="24"/>
                <w:szCs w:val="24"/>
              </w:rPr>
            </w:pPr>
          </w:p>
        </w:tc>
        <w:tc>
          <w:tcPr>
            <w:tcW w:w="1400" w:type="pct"/>
            <w:vAlign w:val="center"/>
          </w:tcPr>
          <w:p w14:paraId="7DBD4090">
            <w:pPr>
              <w:jc w:val="center"/>
              <w:rPr>
                <w:rFonts w:ascii="Times New Roman" w:hAnsi="Times New Roman" w:eastAsia="仿宋"/>
                <w:b/>
                <w:sz w:val="24"/>
                <w:szCs w:val="24"/>
              </w:rPr>
            </w:pPr>
          </w:p>
        </w:tc>
        <w:tc>
          <w:tcPr>
            <w:tcW w:w="840" w:type="pct"/>
            <w:vAlign w:val="center"/>
          </w:tcPr>
          <w:p w14:paraId="548AA3CE">
            <w:pPr>
              <w:jc w:val="center"/>
              <w:rPr>
                <w:rFonts w:ascii="Times New Roman" w:hAnsi="Times New Roman" w:eastAsia="仿宋"/>
                <w:b/>
                <w:sz w:val="24"/>
                <w:szCs w:val="24"/>
              </w:rPr>
            </w:pPr>
          </w:p>
        </w:tc>
      </w:tr>
    </w:tbl>
    <w:p w14:paraId="31F3A4BC">
      <w:pPr>
        <w:rPr>
          <w:rFonts w:ascii="Times New Roman" w:hAnsi="Times New Roman" w:eastAsia="仿宋"/>
          <w:b/>
          <w:sz w:val="24"/>
          <w:szCs w:val="24"/>
        </w:rPr>
      </w:pPr>
      <w:r>
        <w:rPr>
          <w:rFonts w:hint="eastAsia" w:ascii="Times New Roman" w:hAnsi="Times New Roman" w:eastAsia="仿宋"/>
          <w:b/>
          <w:sz w:val="24"/>
          <w:szCs w:val="24"/>
        </w:rPr>
        <w:t>填报人：           联系电话：               填报日期：</w:t>
      </w:r>
    </w:p>
    <w:p w14:paraId="3ECC56F0">
      <w:pPr>
        <w:widowControl/>
        <w:adjustRightInd w:val="0"/>
        <w:snapToGrid w:val="0"/>
        <w:spacing w:before="312" w:beforeLines="100" w:line="300" w:lineRule="auto"/>
        <w:jc w:val="left"/>
        <w:rPr>
          <w:rFonts w:ascii="黑体" w:hAnsi="黑体" w:eastAsia="黑体"/>
          <w:b/>
          <w:sz w:val="28"/>
          <w:szCs w:val="28"/>
        </w:rPr>
      </w:pPr>
      <w:r>
        <w:rPr>
          <w:rFonts w:hint="eastAsia" w:ascii="黑体" w:hAnsi="黑体" w:eastAsia="黑体"/>
          <w:b/>
          <w:sz w:val="28"/>
          <w:szCs w:val="28"/>
        </w:rPr>
        <w:t>2.输送带</w:t>
      </w:r>
    </w:p>
    <w:p w14:paraId="5C5F767C">
      <w:pPr>
        <w:adjustRightInd w:val="0"/>
        <w:snapToGrid w:val="0"/>
        <w:spacing w:line="300" w:lineRule="auto"/>
        <w:ind w:firstLine="560" w:firstLineChars="200"/>
        <w:rPr>
          <w:rFonts w:ascii="Times New Roman" w:hAnsi="Times New Roman" w:eastAsia="仿宋"/>
          <w:sz w:val="28"/>
          <w:szCs w:val="28"/>
        </w:rPr>
      </w:pPr>
      <w:r>
        <w:rPr>
          <w:rFonts w:hint="eastAsia" w:ascii="Times New Roman" w:hAnsi="Times New Roman" w:eastAsia="仿宋"/>
          <w:sz w:val="28"/>
          <w:szCs w:val="28"/>
        </w:rPr>
        <w:t>按照产品类型分别统计生产企业报告期内每万层平方米输送带产品综合能源消耗量和万元产值能源消耗量（见表2）。统计范围和计算方法按照《输送带单位产品能源消耗限额》（</w:t>
      </w:r>
      <w:r>
        <w:rPr>
          <w:rFonts w:ascii="Times New Roman" w:hAnsi="Times New Roman" w:eastAsia="仿宋"/>
          <w:sz w:val="28"/>
          <w:szCs w:val="28"/>
        </w:rPr>
        <w:t>T/CRIA 16014</w:t>
      </w:r>
      <w:r>
        <w:rPr>
          <w:rFonts w:hint="eastAsia" w:ascii="Times New Roman" w:hAnsi="Times New Roman" w:eastAsia="仿宋"/>
          <w:sz w:val="28"/>
          <w:szCs w:val="28"/>
        </w:rPr>
        <w:t>）的规定进行。</w:t>
      </w:r>
    </w:p>
    <w:p w14:paraId="3A03F769">
      <w:pPr>
        <w:widowControl/>
        <w:spacing w:before="156" w:beforeLines="50"/>
        <w:jc w:val="center"/>
        <w:rPr>
          <w:rFonts w:ascii="Times New Roman" w:hAnsi="Times New Roman" w:eastAsia="仿宋"/>
          <w:b/>
          <w:sz w:val="24"/>
          <w:szCs w:val="24"/>
        </w:rPr>
      </w:pPr>
      <w:r>
        <w:rPr>
          <w:rFonts w:hint="eastAsia" w:ascii="Times New Roman" w:hAnsi="Times New Roman" w:eastAsia="仿宋"/>
          <w:b/>
          <w:sz w:val="24"/>
          <w:szCs w:val="24"/>
        </w:rPr>
        <w:t>表2 输送带单位产品综合能源消耗量和万元产值能耗量统计表</w:t>
      </w:r>
    </w:p>
    <w:p w14:paraId="328D5E3C">
      <w:pPr>
        <w:spacing w:line="360" w:lineRule="auto"/>
        <w:rPr>
          <w:rFonts w:ascii="Times New Roman" w:hAnsi="Times New Roman" w:eastAsia="仿宋"/>
          <w:sz w:val="24"/>
          <w:szCs w:val="24"/>
        </w:rPr>
      </w:pPr>
      <w:r>
        <w:rPr>
          <w:rFonts w:hint="eastAsia" w:ascii="Times New Roman" w:hAnsi="Times New Roman" w:eastAsia="仿宋"/>
          <w:sz w:val="24"/>
          <w:szCs w:val="24"/>
        </w:rPr>
        <w:t>单位：</w:t>
      </w:r>
      <w:r>
        <w:rPr>
          <w:rFonts w:hint="eastAsia" w:ascii="Times New Roman" w:hAnsi="Times New Roman" w:eastAsia="仿宋"/>
          <w:sz w:val="24"/>
          <w:szCs w:val="24"/>
          <w:u w:val="single"/>
        </w:rPr>
        <w:t xml:space="preserve">×××企业          </w:t>
      </w:r>
      <w:r>
        <w:rPr>
          <w:rFonts w:hint="eastAsia" w:ascii="Times New Roman" w:hAnsi="Times New Roman" w:eastAsia="仿宋"/>
          <w:sz w:val="24"/>
          <w:szCs w:val="24"/>
        </w:rPr>
        <w:t xml:space="preserve">         报告期：2024年1月1日—12月31日</w:t>
      </w:r>
    </w:p>
    <w:tbl>
      <w:tblPr>
        <w:tblStyle w:val="2"/>
        <w:tblW w:w="5000"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2234"/>
        <w:gridCol w:w="2551"/>
        <w:gridCol w:w="2410"/>
        <w:gridCol w:w="1327"/>
      </w:tblGrid>
      <w:tr w14:paraId="5ADAB2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311" w:type="pct"/>
            <w:vAlign w:val="center"/>
          </w:tcPr>
          <w:p w14:paraId="166AAAC1">
            <w:pPr>
              <w:jc w:val="center"/>
              <w:rPr>
                <w:rFonts w:ascii="Times New Roman" w:hAnsi="Times New Roman" w:eastAsia="仿宋"/>
                <w:b/>
                <w:sz w:val="24"/>
                <w:szCs w:val="24"/>
              </w:rPr>
            </w:pPr>
            <w:r>
              <w:rPr>
                <w:rFonts w:hint="eastAsia" w:ascii="Times New Roman" w:hAnsi="Times New Roman" w:eastAsia="仿宋"/>
                <w:b/>
                <w:sz w:val="24"/>
                <w:szCs w:val="24"/>
              </w:rPr>
              <w:t>产品类型</w:t>
            </w:r>
          </w:p>
        </w:tc>
        <w:tc>
          <w:tcPr>
            <w:tcW w:w="1497" w:type="pct"/>
            <w:vAlign w:val="center"/>
          </w:tcPr>
          <w:p w14:paraId="12D56661">
            <w:pPr>
              <w:jc w:val="center"/>
              <w:rPr>
                <w:rFonts w:ascii="Times New Roman" w:hAnsi="Times New Roman" w:eastAsia="仿宋"/>
                <w:b/>
                <w:sz w:val="24"/>
                <w:szCs w:val="24"/>
              </w:rPr>
            </w:pPr>
            <w:r>
              <w:rPr>
                <w:rFonts w:hint="eastAsia" w:ascii="Times New Roman" w:hAnsi="Times New Roman" w:eastAsia="仿宋"/>
                <w:b/>
                <w:sz w:val="24"/>
                <w:szCs w:val="24"/>
              </w:rPr>
              <w:t>万层平方米输送带产品综合能源消耗量（千克标准煤/万层平方米）</w:t>
            </w:r>
          </w:p>
        </w:tc>
        <w:tc>
          <w:tcPr>
            <w:tcW w:w="1414" w:type="pct"/>
            <w:vAlign w:val="center"/>
          </w:tcPr>
          <w:p w14:paraId="44878E85">
            <w:pPr>
              <w:jc w:val="center"/>
              <w:rPr>
                <w:rFonts w:ascii="Times New Roman" w:hAnsi="Times New Roman" w:eastAsia="仿宋"/>
                <w:b/>
                <w:sz w:val="24"/>
                <w:szCs w:val="24"/>
              </w:rPr>
            </w:pPr>
            <w:r>
              <w:rPr>
                <w:rFonts w:hint="eastAsia" w:ascii="Times New Roman" w:hAnsi="Times New Roman" w:eastAsia="仿宋"/>
                <w:b/>
                <w:sz w:val="24"/>
                <w:szCs w:val="24"/>
              </w:rPr>
              <w:t>万元产值能耗量</w:t>
            </w:r>
          </w:p>
          <w:p w14:paraId="2EF7EB10">
            <w:pPr>
              <w:jc w:val="center"/>
              <w:rPr>
                <w:rFonts w:ascii="Times New Roman" w:hAnsi="Times New Roman" w:eastAsia="仿宋"/>
                <w:b/>
                <w:sz w:val="24"/>
                <w:szCs w:val="24"/>
              </w:rPr>
            </w:pPr>
            <w:r>
              <w:rPr>
                <w:rFonts w:hint="eastAsia" w:ascii="Times New Roman" w:hAnsi="Times New Roman" w:eastAsia="仿宋"/>
                <w:b/>
                <w:sz w:val="24"/>
                <w:szCs w:val="24"/>
              </w:rPr>
              <w:t>（千克标准煤/万元）</w:t>
            </w:r>
          </w:p>
        </w:tc>
        <w:tc>
          <w:tcPr>
            <w:tcW w:w="778" w:type="pct"/>
            <w:vAlign w:val="center"/>
          </w:tcPr>
          <w:p w14:paraId="420B0706">
            <w:pPr>
              <w:jc w:val="center"/>
              <w:rPr>
                <w:rFonts w:ascii="Times New Roman" w:hAnsi="Times New Roman" w:eastAsia="仿宋"/>
                <w:b/>
                <w:sz w:val="24"/>
                <w:szCs w:val="24"/>
              </w:rPr>
            </w:pPr>
            <w:r>
              <w:rPr>
                <w:rFonts w:hint="eastAsia" w:ascii="Times New Roman" w:hAnsi="Times New Roman" w:eastAsia="仿宋"/>
                <w:b/>
                <w:sz w:val="24"/>
                <w:szCs w:val="24"/>
              </w:rPr>
              <w:t>备注</w:t>
            </w:r>
          </w:p>
        </w:tc>
      </w:tr>
      <w:tr w14:paraId="1240D7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311" w:type="pct"/>
            <w:vAlign w:val="center"/>
          </w:tcPr>
          <w:p w14:paraId="56DECFC0">
            <w:pPr>
              <w:jc w:val="center"/>
              <w:rPr>
                <w:rFonts w:ascii="Times New Roman" w:hAnsi="Times New Roman" w:eastAsia="仿宋"/>
                <w:b/>
                <w:sz w:val="24"/>
                <w:szCs w:val="24"/>
              </w:rPr>
            </w:pPr>
            <w:r>
              <w:rPr>
                <w:rFonts w:hint="eastAsia" w:ascii="Times New Roman" w:hAnsi="Times New Roman" w:eastAsia="仿宋"/>
                <w:b/>
                <w:sz w:val="24"/>
                <w:szCs w:val="24"/>
              </w:rPr>
              <w:t>钢丝绳芯输送带</w:t>
            </w:r>
          </w:p>
        </w:tc>
        <w:tc>
          <w:tcPr>
            <w:tcW w:w="1497" w:type="pct"/>
            <w:vAlign w:val="center"/>
          </w:tcPr>
          <w:p w14:paraId="297F704A">
            <w:pPr>
              <w:jc w:val="center"/>
              <w:rPr>
                <w:rFonts w:ascii="Times New Roman" w:hAnsi="Times New Roman" w:eastAsia="仿宋"/>
                <w:sz w:val="24"/>
                <w:szCs w:val="24"/>
              </w:rPr>
            </w:pPr>
          </w:p>
        </w:tc>
        <w:tc>
          <w:tcPr>
            <w:tcW w:w="1414" w:type="pct"/>
            <w:vAlign w:val="center"/>
          </w:tcPr>
          <w:p w14:paraId="3BEB1BD0">
            <w:pPr>
              <w:jc w:val="center"/>
              <w:rPr>
                <w:rFonts w:ascii="Times New Roman" w:hAnsi="Times New Roman" w:eastAsia="仿宋"/>
                <w:sz w:val="24"/>
                <w:szCs w:val="24"/>
              </w:rPr>
            </w:pPr>
          </w:p>
        </w:tc>
        <w:tc>
          <w:tcPr>
            <w:tcW w:w="778" w:type="pct"/>
            <w:vAlign w:val="center"/>
          </w:tcPr>
          <w:p w14:paraId="229431F6">
            <w:pPr>
              <w:jc w:val="center"/>
              <w:rPr>
                <w:rFonts w:ascii="Times New Roman" w:hAnsi="Times New Roman" w:eastAsia="仿宋"/>
                <w:sz w:val="24"/>
                <w:szCs w:val="24"/>
              </w:rPr>
            </w:pPr>
          </w:p>
          <w:p w14:paraId="6FBFF2AD">
            <w:pPr>
              <w:jc w:val="center"/>
              <w:rPr>
                <w:rFonts w:ascii="Times New Roman" w:hAnsi="Times New Roman" w:eastAsia="仿宋"/>
                <w:sz w:val="24"/>
                <w:szCs w:val="24"/>
              </w:rPr>
            </w:pPr>
          </w:p>
        </w:tc>
      </w:tr>
      <w:tr w14:paraId="3E5684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1311" w:type="pct"/>
            <w:vAlign w:val="center"/>
          </w:tcPr>
          <w:p w14:paraId="763C0D11">
            <w:pPr>
              <w:jc w:val="center"/>
              <w:rPr>
                <w:rFonts w:ascii="Times New Roman" w:hAnsi="Times New Roman" w:eastAsia="仿宋"/>
                <w:b/>
                <w:sz w:val="24"/>
                <w:szCs w:val="24"/>
              </w:rPr>
            </w:pPr>
            <w:r>
              <w:rPr>
                <w:rFonts w:hint="eastAsia" w:ascii="Times New Roman" w:hAnsi="Times New Roman" w:eastAsia="仿宋"/>
                <w:b/>
                <w:sz w:val="24"/>
                <w:szCs w:val="24"/>
              </w:rPr>
              <w:t>帆布输送带</w:t>
            </w:r>
          </w:p>
        </w:tc>
        <w:tc>
          <w:tcPr>
            <w:tcW w:w="1497" w:type="pct"/>
            <w:vAlign w:val="center"/>
          </w:tcPr>
          <w:p w14:paraId="36F5B0DB">
            <w:pPr>
              <w:jc w:val="center"/>
              <w:rPr>
                <w:rFonts w:ascii="Times New Roman" w:hAnsi="Times New Roman" w:eastAsia="仿宋"/>
                <w:sz w:val="24"/>
                <w:szCs w:val="24"/>
              </w:rPr>
            </w:pPr>
          </w:p>
        </w:tc>
        <w:tc>
          <w:tcPr>
            <w:tcW w:w="1414" w:type="pct"/>
            <w:vAlign w:val="center"/>
          </w:tcPr>
          <w:p w14:paraId="0F2C6CFD">
            <w:pPr>
              <w:jc w:val="center"/>
              <w:rPr>
                <w:rFonts w:ascii="Times New Roman" w:hAnsi="Times New Roman" w:eastAsia="仿宋"/>
                <w:sz w:val="24"/>
                <w:szCs w:val="24"/>
              </w:rPr>
            </w:pPr>
          </w:p>
        </w:tc>
        <w:tc>
          <w:tcPr>
            <w:tcW w:w="778" w:type="pct"/>
            <w:vAlign w:val="center"/>
          </w:tcPr>
          <w:p w14:paraId="015E89EB">
            <w:pPr>
              <w:jc w:val="center"/>
              <w:rPr>
                <w:rFonts w:ascii="Times New Roman" w:hAnsi="Times New Roman" w:eastAsia="仿宋"/>
                <w:sz w:val="24"/>
                <w:szCs w:val="24"/>
              </w:rPr>
            </w:pPr>
          </w:p>
        </w:tc>
      </w:tr>
      <w:tr w14:paraId="463BEC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311" w:type="pct"/>
            <w:vAlign w:val="center"/>
          </w:tcPr>
          <w:p w14:paraId="4D570FF0">
            <w:pPr>
              <w:jc w:val="center"/>
              <w:rPr>
                <w:rFonts w:ascii="Times New Roman" w:hAnsi="Times New Roman" w:eastAsia="仿宋"/>
                <w:b/>
                <w:sz w:val="24"/>
                <w:szCs w:val="24"/>
              </w:rPr>
            </w:pPr>
            <w:r>
              <w:rPr>
                <w:rFonts w:hint="eastAsia" w:ascii="Times New Roman" w:hAnsi="Times New Roman" w:eastAsia="仿宋"/>
                <w:b/>
                <w:sz w:val="24"/>
                <w:szCs w:val="24"/>
              </w:rPr>
              <w:t>挤出法PVC/PVG整芯输送带</w:t>
            </w:r>
          </w:p>
        </w:tc>
        <w:tc>
          <w:tcPr>
            <w:tcW w:w="1497" w:type="pct"/>
            <w:vAlign w:val="center"/>
          </w:tcPr>
          <w:p w14:paraId="6C842D7B">
            <w:pPr>
              <w:jc w:val="center"/>
              <w:rPr>
                <w:rFonts w:ascii="Times New Roman" w:hAnsi="Times New Roman" w:eastAsia="仿宋"/>
                <w:sz w:val="24"/>
                <w:szCs w:val="24"/>
              </w:rPr>
            </w:pPr>
          </w:p>
        </w:tc>
        <w:tc>
          <w:tcPr>
            <w:tcW w:w="1414" w:type="pct"/>
            <w:vAlign w:val="center"/>
          </w:tcPr>
          <w:p w14:paraId="03388374">
            <w:pPr>
              <w:jc w:val="center"/>
              <w:rPr>
                <w:rFonts w:ascii="Times New Roman" w:hAnsi="Times New Roman" w:eastAsia="仿宋"/>
                <w:sz w:val="24"/>
                <w:szCs w:val="24"/>
              </w:rPr>
            </w:pPr>
          </w:p>
        </w:tc>
        <w:tc>
          <w:tcPr>
            <w:tcW w:w="778" w:type="pct"/>
            <w:vAlign w:val="center"/>
          </w:tcPr>
          <w:p w14:paraId="21883EF3">
            <w:pPr>
              <w:jc w:val="center"/>
              <w:rPr>
                <w:rFonts w:ascii="Times New Roman" w:hAnsi="Times New Roman" w:eastAsia="仿宋"/>
                <w:sz w:val="24"/>
                <w:szCs w:val="24"/>
              </w:rPr>
            </w:pPr>
          </w:p>
        </w:tc>
      </w:tr>
    </w:tbl>
    <w:p w14:paraId="035B542D">
      <w:pPr>
        <w:rPr>
          <w:rFonts w:ascii="Times New Roman" w:hAnsi="Times New Roman" w:eastAsia="仿宋"/>
          <w:b/>
          <w:sz w:val="24"/>
          <w:szCs w:val="24"/>
        </w:rPr>
      </w:pPr>
      <w:r>
        <w:rPr>
          <w:rFonts w:hint="eastAsia" w:ascii="Times New Roman" w:hAnsi="Times New Roman" w:eastAsia="仿宋"/>
          <w:b/>
          <w:sz w:val="24"/>
          <w:szCs w:val="24"/>
        </w:rPr>
        <w:t>填报人：             联系电话：           填报日期：</w:t>
      </w:r>
    </w:p>
    <w:p w14:paraId="1106A12C">
      <w:pPr>
        <w:widowControl/>
        <w:jc w:val="left"/>
        <w:rPr>
          <w:rFonts w:ascii="黑体" w:hAnsi="黑体" w:eastAsia="黑体"/>
          <w:b/>
          <w:sz w:val="28"/>
          <w:szCs w:val="28"/>
        </w:rPr>
      </w:pPr>
    </w:p>
    <w:p w14:paraId="10B14549">
      <w:pPr>
        <w:widowControl/>
        <w:jc w:val="left"/>
        <w:rPr>
          <w:rFonts w:ascii="黑体" w:hAnsi="黑体" w:eastAsia="黑体"/>
          <w:b/>
          <w:sz w:val="28"/>
          <w:szCs w:val="28"/>
        </w:rPr>
      </w:pPr>
      <w:bookmarkStart w:id="0" w:name="_GoBack"/>
      <w:bookmarkEnd w:id="0"/>
    </w:p>
    <w:p w14:paraId="2D1E8DA1">
      <w:pPr>
        <w:widowControl/>
        <w:adjustRightInd w:val="0"/>
        <w:snapToGrid w:val="0"/>
        <w:spacing w:line="300" w:lineRule="auto"/>
        <w:jc w:val="left"/>
        <w:rPr>
          <w:rFonts w:ascii="黑体" w:hAnsi="黑体" w:eastAsia="黑体"/>
          <w:b/>
          <w:sz w:val="28"/>
          <w:szCs w:val="28"/>
        </w:rPr>
      </w:pPr>
      <w:r>
        <w:rPr>
          <w:rFonts w:hint="eastAsia" w:ascii="黑体" w:hAnsi="黑体" w:eastAsia="黑体"/>
          <w:b/>
          <w:sz w:val="28"/>
          <w:szCs w:val="28"/>
        </w:rPr>
        <w:t>3.钢帘线</w:t>
      </w:r>
    </w:p>
    <w:p w14:paraId="250D5113">
      <w:pPr>
        <w:adjustRightInd w:val="0"/>
        <w:snapToGrid w:val="0"/>
        <w:spacing w:line="300" w:lineRule="auto"/>
        <w:ind w:firstLine="560" w:firstLineChars="200"/>
        <w:rPr>
          <w:rFonts w:ascii="Times New Roman" w:hAnsi="Times New Roman" w:eastAsia="仿宋"/>
          <w:sz w:val="28"/>
          <w:szCs w:val="28"/>
        </w:rPr>
      </w:pPr>
      <w:r>
        <w:rPr>
          <w:rFonts w:hint="eastAsia" w:ascii="Times New Roman" w:hAnsi="Times New Roman" w:eastAsia="仿宋"/>
          <w:sz w:val="28"/>
          <w:szCs w:val="28"/>
        </w:rPr>
        <w:t>按照产品类型分别统计生产企业报告期内每吨钢帘线产品综合能源消耗量和万元产值能源消耗量（见表3）。统计范围和计算方法按照《钢帘线单位产品能源消耗限额》（</w:t>
      </w:r>
      <w:r>
        <w:rPr>
          <w:rFonts w:ascii="Times New Roman" w:hAnsi="Times New Roman" w:eastAsia="仿宋"/>
          <w:sz w:val="28"/>
          <w:szCs w:val="28"/>
        </w:rPr>
        <w:t xml:space="preserve">T/CRIA </w:t>
      </w:r>
      <w:r>
        <w:rPr>
          <w:rFonts w:hint="eastAsia" w:ascii="Times New Roman" w:hAnsi="Times New Roman" w:eastAsia="仿宋"/>
          <w:sz w:val="28"/>
          <w:szCs w:val="28"/>
        </w:rPr>
        <w:t>26003）的规定进行。</w:t>
      </w:r>
    </w:p>
    <w:p w14:paraId="6BEA89E6">
      <w:pPr>
        <w:spacing w:line="360" w:lineRule="auto"/>
        <w:jc w:val="center"/>
        <w:rPr>
          <w:rFonts w:ascii="Times New Roman" w:hAnsi="Times New Roman" w:eastAsia="仿宋"/>
          <w:b/>
          <w:sz w:val="24"/>
          <w:szCs w:val="24"/>
        </w:rPr>
      </w:pPr>
      <w:r>
        <w:rPr>
          <w:rFonts w:hint="eastAsia" w:ascii="Times New Roman" w:hAnsi="Times New Roman" w:eastAsia="仿宋"/>
          <w:b/>
          <w:sz w:val="24"/>
          <w:szCs w:val="24"/>
        </w:rPr>
        <w:t>表3 钢帘线单位产品综合能源消耗量和万元产值能耗量统计表</w:t>
      </w:r>
    </w:p>
    <w:p w14:paraId="1D4F35C6">
      <w:pPr>
        <w:spacing w:line="360" w:lineRule="auto"/>
        <w:rPr>
          <w:rFonts w:ascii="Times New Roman" w:hAnsi="Times New Roman" w:eastAsia="仿宋"/>
          <w:b/>
          <w:sz w:val="24"/>
          <w:szCs w:val="24"/>
        </w:rPr>
      </w:pPr>
      <w:r>
        <w:rPr>
          <w:rFonts w:hint="eastAsia" w:ascii="Times New Roman" w:hAnsi="Times New Roman" w:eastAsia="仿宋"/>
          <w:b/>
          <w:sz w:val="24"/>
          <w:szCs w:val="24"/>
        </w:rPr>
        <w:t>单位：</w:t>
      </w:r>
      <w:r>
        <w:rPr>
          <w:rFonts w:hint="eastAsia" w:ascii="Times New Roman" w:hAnsi="Times New Roman" w:eastAsia="仿宋"/>
          <w:b/>
          <w:sz w:val="24"/>
          <w:szCs w:val="24"/>
          <w:u w:val="single"/>
        </w:rPr>
        <w:t xml:space="preserve">×××企业          </w:t>
      </w:r>
      <w:r>
        <w:rPr>
          <w:rFonts w:hint="eastAsia" w:ascii="Times New Roman" w:hAnsi="Times New Roman" w:eastAsia="仿宋"/>
          <w:b/>
          <w:sz w:val="24"/>
          <w:szCs w:val="24"/>
        </w:rPr>
        <w:t xml:space="preserve">         报告期：2024年1月1日—12月31日</w:t>
      </w:r>
    </w:p>
    <w:tbl>
      <w:tblPr>
        <w:tblStyle w:val="2"/>
        <w:tblW w:w="5000"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789"/>
        <w:gridCol w:w="2915"/>
        <w:gridCol w:w="2386"/>
        <w:gridCol w:w="1432"/>
      </w:tblGrid>
      <w:tr w14:paraId="18FB1B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050" w:type="pct"/>
            <w:vAlign w:val="center"/>
          </w:tcPr>
          <w:p w14:paraId="38D7E850">
            <w:pPr>
              <w:jc w:val="center"/>
              <w:rPr>
                <w:rFonts w:ascii="Times New Roman" w:hAnsi="Times New Roman" w:eastAsia="仿宋"/>
                <w:b/>
                <w:sz w:val="24"/>
                <w:szCs w:val="24"/>
              </w:rPr>
            </w:pPr>
            <w:r>
              <w:rPr>
                <w:rFonts w:hint="eastAsia" w:ascii="Times New Roman" w:hAnsi="Times New Roman" w:eastAsia="仿宋"/>
                <w:b/>
                <w:sz w:val="24"/>
                <w:szCs w:val="24"/>
              </w:rPr>
              <w:t>产品类型</w:t>
            </w:r>
          </w:p>
        </w:tc>
        <w:tc>
          <w:tcPr>
            <w:tcW w:w="1710" w:type="pct"/>
            <w:vAlign w:val="center"/>
          </w:tcPr>
          <w:p w14:paraId="218082BC">
            <w:pPr>
              <w:jc w:val="center"/>
              <w:rPr>
                <w:rFonts w:ascii="Times New Roman" w:hAnsi="Times New Roman" w:eastAsia="仿宋"/>
                <w:b/>
                <w:sz w:val="24"/>
                <w:szCs w:val="24"/>
              </w:rPr>
            </w:pPr>
            <w:r>
              <w:rPr>
                <w:rFonts w:hint="eastAsia" w:ascii="Times New Roman" w:hAnsi="Times New Roman" w:eastAsia="仿宋"/>
                <w:b/>
                <w:sz w:val="24"/>
                <w:szCs w:val="24"/>
              </w:rPr>
              <w:t>每吨钢帘线单位产品综合能源消耗量（千克标准煤/吨）</w:t>
            </w:r>
          </w:p>
        </w:tc>
        <w:tc>
          <w:tcPr>
            <w:tcW w:w="1400" w:type="pct"/>
            <w:vAlign w:val="center"/>
          </w:tcPr>
          <w:p w14:paraId="719852B3">
            <w:pPr>
              <w:jc w:val="center"/>
              <w:rPr>
                <w:rFonts w:ascii="Times New Roman" w:hAnsi="Times New Roman" w:eastAsia="仿宋"/>
                <w:b/>
                <w:sz w:val="24"/>
                <w:szCs w:val="24"/>
              </w:rPr>
            </w:pPr>
            <w:r>
              <w:rPr>
                <w:rFonts w:hint="eastAsia" w:ascii="Times New Roman" w:hAnsi="Times New Roman" w:eastAsia="仿宋"/>
                <w:b/>
                <w:sz w:val="24"/>
                <w:szCs w:val="24"/>
              </w:rPr>
              <w:t>万元产值能耗量</w:t>
            </w:r>
          </w:p>
          <w:p w14:paraId="222333B7">
            <w:pPr>
              <w:jc w:val="center"/>
              <w:rPr>
                <w:rFonts w:ascii="Times New Roman" w:hAnsi="Times New Roman" w:eastAsia="仿宋"/>
                <w:b/>
                <w:sz w:val="24"/>
                <w:szCs w:val="24"/>
              </w:rPr>
            </w:pPr>
            <w:r>
              <w:rPr>
                <w:rFonts w:hint="eastAsia" w:ascii="Times New Roman" w:hAnsi="Times New Roman" w:eastAsia="仿宋"/>
                <w:b/>
                <w:sz w:val="24"/>
                <w:szCs w:val="24"/>
              </w:rPr>
              <w:t>（千克标准煤/万元）</w:t>
            </w:r>
          </w:p>
        </w:tc>
        <w:tc>
          <w:tcPr>
            <w:tcW w:w="840" w:type="pct"/>
            <w:vAlign w:val="center"/>
          </w:tcPr>
          <w:p w14:paraId="26A3E0DA">
            <w:pPr>
              <w:jc w:val="center"/>
              <w:rPr>
                <w:rFonts w:ascii="Times New Roman" w:hAnsi="Times New Roman" w:eastAsia="仿宋"/>
                <w:b/>
                <w:sz w:val="24"/>
                <w:szCs w:val="24"/>
              </w:rPr>
            </w:pPr>
            <w:r>
              <w:rPr>
                <w:rFonts w:hint="eastAsia" w:ascii="Times New Roman" w:hAnsi="Times New Roman" w:eastAsia="仿宋"/>
                <w:b/>
                <w:sz w:val="24"/>
                <w:szCs w:val="24"/>
              </w:rPr>
              <w:t>备注</w:t>
            </w:r>
          </w:p>
        </w:tc>
      </w:tr>
      <w:tr w14:paraId="04D980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050" w:type="pct"/>
            <w:vAlign w:val="center"/>
          </w:tcPr>
          <w:p w14:paraId="5676153A">
            <w:pPr>
              <w:jc w:val="center"/>
              <w:rPr>
                <w:rFonts w:ascii="Times New Roman" w:hAnsi="Times New Roman" w:eastAsia="仿宋"/>
                <w:b/>
                <w:sz w:val="24"/>
                <w:szCs w:val="24"/>
              </w:rPr>
            </w:pPr>
            <w:r>
              <w:rPr>
                <w:rFonts w:hint="eastAsia" w:ascii="Times New Roman" w:hAnsi="Times New Roman" w:eastAsia="仿宋"/>
                <w:b/>
                <w:sz w:val="24"/>
                <w:szCs w:val="24"/>
              </w:rPr>
              <w:t>钢帘线</w:t>
            </w:r>
          </w:p>
        </w:tc>
        <w:tc>
          <w:tcPr>
            <w:tcW w:w="1710" w:type="pct"/>
            <w:vAlign w:val="center"/>
          </w:tcPr>
          <w:p w14:paraId="2E668B8A">
            <w:pPr>
              <w:jc w:val="center"/>
              <w:rPr>
                <w:rFonts w:ascii="Times New Roman" w:hAnsi="Times New Roman" w:eastAsia="仿宋"/>
                <w:b/>
                <w:sz w:val="24"/>
                <w:szCs w:val="24"/>
              </w:rPr>
            </w:pPr>
          </w:p>
        </w:tc>
        <w:tc>
          <w:tcPr>
            <w:tcW w:w="1400" w:type="pct"/>
            <w:vAlign w:val="center"/>
          </w:tcPr>
          <w:p w14:paraId="18404B76">
            <w:pPr>
              <w:jc w:val="center"/>
              <w:rPr>
                <w:rFonts w:ascii="Times New Roman" w:hAnsi="Times New Roman" w:eastAsia="仿宋"/>
                <w:b/>
                <w:sz w:val="24"/>
                <w:szCs w:val="24"/>
              </w:rPr>
            </w:pPr>
          </w:p>
        </w:tc>
        <w:tc>
          <w:tcPr>
            <w:tcW w:w="840" w:type="pct"/>
            <w:vAlign w:val="center"/>
          </w:tcPr>
          <w:p w14:paraId="21E3DFBE">
            <w:pPr>
              <w:jc w:val="center"/>
              <w:rPr>
                <w:rFonts w:ascii="Times New Roman" w:hAnsi="Times New Roman" w:eastAsia="仿宋"/>
                <w:sz w:val="24"/>
                <w:szCs w:val="24"/>
              </w:rPr>
            </w:pPr>
          </w:p>
          <w:p w14:paraId="7044CDE3">
            <w:pPr>
              <w:jc w:val="center"/>
              <w:rPr>
                <w:rFonts w:ascii="Times New Roman" w:hAnsi="Times New Roman" w:eastAsia="仿宋"/>
                <w:sz w:val="24"/>
                <w:szCs w:val="24"/>
              </w:rPr>
            </w:pPr>
          </w:p>
        </w:tc>
      </w:tr>
    </w:tbl>
    <w:p w14:paraId="795515C4">
      <w:pPr>
        <w:rPr>
          <w:rFonts w:ascii="Times New Roman" w:hAnsi="Times New Roman" w:eastAsia="仿宋"/>
          <w:b/>
          <w:sz w:val="24"/>
          <w:szCs w:val="24"/>
        </w:rPr>
      </w:pPr>
      <w:r>
        <w:rPr>
          <w:rFonts w:hint="eastAsia" w:ascii="Times New Roman" w:hAnsi="Times New Roman" w:eastAsia="仿宋"/>
          <w:b/>
          <w:sz w:val="24"/>
          <w:szCs w:val="24"/>
        </w:rPr>
        <w:t>填报人：          联系电话：               填报日期：</w:t>
      </w:r>
    </w:p>
    <w:p w14:paraId="560CFDBF">
      <w:pPr>
        <w:widowControl/>
        <w:jc w:val="left"/>
      </w:pPr>
      <w:r>
        <w:rPr>
          <w:rFonts w:hint="eastAsia"/>
        </w:rPr>
        <w:t xml:space="preserve"> </w:t>
      </w:r>
    </w:p>
    <w:p w14:paraId="1B3B7C2B">
      <w:pPr>
        <w:widowControl/>
        <w:adjustRightInd w:val="0"/>
        <w:snapToGrid w:val="0"/>
        <w:spacing w:line="300" w:lineRule="auto"/>
        <w:jc w:val="left"/>
        <w:rPr>
          <w:rFonts w:ascii="黑体" w:hAnsi="黑体" w:eastAsia="黑体"/>
          <w:b/>
          <w:sz w:val="28"/>
          <w:szCs w:val="28"/>
        </w:rPr>
      </w:pPr>
      <w:r>
        <w:rPr>
          <w:rFonts w:hint="eastAsia" w:ascii="黑体" w:hAnsi="黑体" w:eastAsia="黑体"/>
          <w:b/>
          <w:sz w:val="28"/>
          <w:szCs w:val="28"/>
        </w:rPr>
        <w:t>4.胎圈钢丝</w:t>
      </w:r>
    </w:p>
    <w:p w14:paraId="11683097">
      <w:pPr>
        <w:adjustRightInd w:val="0"/>
        <w:snapToGrid w:val="0"/>
        <w:spacing w:line="300" w:lineRule="auto"/>
        <w:ind w:firstLine="560" w:firstLineChars="200"/>
        <w:rPr>
          <w:rFonts w:ascii="Times New Roman" w:hAnsi="Times New Roman" w:eastAsia="仿宋"/>
          <w:sz w:val="28"/>
          <w:szCs w:val="28"/>
        </w:rPr>
      </w:pPr>
      <w:r>
        <w:rPr>
          <w:rFonts w:hint="eastAsia" w:ascii="Times New Roman" w:hAnsi="Times New Roman" w:eastAsia="仿宋"/>
          <w:sz w:val="28"/>
          <w:szCs w:val="28"/>
        </w:rPr>
        <w:t>按照产品类型分别统计生产企业报告期内每吨胎圈钢丝产品综合能源消耗量和万元产值能源消耗量（见表4）。统计范围和计算方法按照《胎圈钢丝单位产品能源消耗限额》（</w:t>
      </w:r>
      <w:r>
        <w:rPr>
          <w:rFonts w:ascii="Times New Roman" w:hAnsi="Times New Roman" w:eastAsia="仿宋"/>
          <w:sz w:val="28"/>
          <w:szCs w:val="28"/>
        </w:rPr>
        <w:t>T/CRIA 26005</w:t>
      </w:r>
      <w:r>
        <w:rPr>
          <w:rFonts w:hint="eastAsia" w:ascii="Times New Roman" w:hAnsi="Times New Roman" w:eastAsia="仿宋"/>
          <w:sz w:val="28"/>
          <w:szCs w:val="28"/>
        </w:rPr>
        <w:t>）的规定进行。</w:t>
      </w:r>
    </w:p>
    <w:p w14:paraId="7D572FF2">
      <w:pPr>
        <w:spacing w:line="360" w:lineRule="auto"/>
        <w:jc w:val="center"/>
        <w:rPr>
          <w:rFonts w:ascii="Times New Roman" w:hAnsi="Times New Roman" w:eastAsia="仿宋"/>
          <w:b/>
          <w:sz w:val="24"/>
          <w:szCs w:val="24"/>
        </w:rPr>
      </w:pPr>
      <w:r>
        <w:rPr>
          <w:rFonts w:hint="eastAsia" w:ascii="Times New Roman" w:hAnsi="Times New Roman" w:eastAsia="仿宋"/>
          <w:b/>
          <w:sz w:val="24"/>
          <w:szCs w:val="24"/>
        </w:rPr>
        <w:t>表4 胎圈钢丝单位产品综合能源消耗量和万元产值能耗量统计表</w:t>
      </w:r>
    </w:p>
    <w:p w14:paraId="1E7A973B">
      <w:pPr>
        <w:spacing w:line="360" w:lineRule="auto"/>
        <w:rPr>
          <w:rFonts w:ascii="Times New Roman" w:hAnsi="Times New Roman" w:eastAsia="仿宋"/>
          <w:b/>
          <w:sz w:val="24"/>
          <w:szCs w:val="24"/>
        </w:rPr>
      </w:pPr>
      <w:r>
        <w:rPr>
          <w:rFonts w:hint="eastAsia" w:ascii="Times New Roman" w:hAnsi="Times New Roman" w:eastAsia="仿宋"/>
          <w:b/>
          <w:sz w:val="24"/>
          <w:szCs w:val="24"/>
        </w:rPr>
        <w:t>单位：</w:t>
      </w:r>
      <w:r>
        <w:rPr>
          <w:rFonts w:hint="eastAsia" w:ascii="Times New Roman" w:hAnsi="Times New Roman" w:eastAsia="仿宋"/>
          <w:b/>
          <w:sz w:val="24"/>
          <w:szCs w:val="24"/>
          <w:u w:val="single"/>
        </w:rPr>
        <w:t xml:space="preserve">×××企业          </w:t>
      </w:r>
      <w:r>
        <w:rPr>
          <w:rFonts w:hint="eastAsia" w:ascii="Times New Roman" w:hAnsi="Times New Roman" w:eastAsia="仿宋"/>
          <w:b/>
          <w:sz w:val="24"/>
          <w:szCs w:val="24"/>
        </w:rPr>
        <w:t xml:space="preserve">         报告期：2024年1月1日—12月31日</w:t>
      </w:r>
    </w:p>
    <w:tbl>
      <w:tblPr>
        <w:tblStyle w:val="2"/>
        <w:tblW w:w="5000"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789"/>
        <w:gridCol w:w="2915"/>
        <w:gridCol w:w="2386"/>
        <w:gridCol w:w="1432"/>
      </w:tblGrid>
      <w:tr w14:paraId="64EA6D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050" w:type="pct"/>
            <w:vAlign w:val="center"/>
          </w:tcPr>
          <w:p w14:paraId="03B40357">
            <w:pPr>
              <w:jc w:val="center"/>
              <w:rPr>
                <w:rFonts w:ascii="Times New Roman" w:hAnsi="Times New Roman" w:eastAsia="仿宋"/>
                <w:b/>
                <w:sz w:val="24"/>
                <w:szCs w:val="24"/>
              </w:rPr>
            </w:pPr>
            <w:r>
              <w:rPr>
                <w:rFonts w:hint="eastAsia" w:ascii="Times New Roman" w:hAnsi="Times New Roman" w:eastAsia="仿宋"/>
                <w:b/>
                <w:sz w:val="24"/>
                <w:szCs w:val="24"/>
              </w:rPr>
              <w:t>产品类型</w:t>
            </w:r>
          </w:p>
        </w:tc>
        <w:tc>
          <w:tcPr>
            <w:tcW w:w="1710" w:type="pct"/>
            <w:vAlign w:val="center"/>
          </w:tcPr>
          <w:p w14:paraId="3B0D8A32">
            <w:pPr>
              <w:jc w:val="center"/>
              <w:rPr>
                <w:rFonts w:ascii="Times New Roman" w:hAnsi="Times New Roman" w:eastAsia="仿宋"/>
                <w:b/>
                <w:sz w:val="24"/>
                <w:szCs w:val="24"/>
              </w:rPr>
            </w:pPr>
            <w:r>
              <w:rPr>
                <w:rFonts w:hint="eastAsia" w:ascii="Times New Roman" w:hAnsi="Times New Roman" w:eastAsia="仿宋"/>
                <w:b/>
                <w:sz w:val="24"/>
                <w:szCs w:val="24"/>
              </w:rPr>
              <w:t>每吨胎圈钢丝单位产品综合能源消耗量（千克标准煤/吨）</w:t>
            </w:r>
          </w:p>
        </w:tc>
        <w:tc>
          <w:tcPr>
            <w:tcW w:w="1400" w:type="pct"/>
            <w:vAlign w:val="center"/>
          </w:tcPr>
          <w:p w14:paraId="3CD929E5">
            <w:pPr>
              <w:jc w:val="center"/>
              <w:rPr>
                <w:rFonts w:ascii="Times New Roman" w:hAnsi="Times New Roman" w:eastAsia="仿宋"/>
                <w:b/>
                <w:sz w:val="24"/>
                <w:szCs w:val="24"/>
              </w:rPr>
            </w:pPr>
            <w:r>
              <w:rPr>
                <w:rFonts w:hint="eastAsia" w:ascii="Times New Roman" w:hAnsi="Times New Roman" w:eastAsia="仿宋"/>
                <w:b/>
                <w:sz w:val="24"/>
                <w:szCs w:val="24"/>
              </w:rPr>
              <w:t>万元产值能耗量</w:t>
            </w:r>
          </w:p>
          <w:p w14:paraId="3E7B5A69">
            <w:pPr>
              <w:jc w:val="center"/>
              <w:rPr>
                <w:rFonts w:ascii="Times New Roman" w:hAnsi="Times New Roman" w:eastAsia="仿宋"/>
                <w:b/>
                <w:sz w:val="24"/>
                <w:szCs w:val="24"/>
              </w:rPr>
            </w:pPr>
            <w:r>
              <w:rPr>
                <w:rFonts w:hint="eastAsia" w:ascii="Times New Roman" w:hAnsi="Times New Roman" w:eastAsia="仿宋"/>
                <w:b/>
                <w:sz w:val="24"/>
                <w:szCs w:val="24"/>
              </w:rPr>
              <w:t>（千克标准煤/万元）</w:t>
            </w:r>
          </w:p>
        </w:tc>
        <w:tc>
          <w:tcPr>
            <w:tcW w:w="840" w:type="pct"/>
            <w:vAlign w:val="center"/>
          </w:tcPr>
          <w:p w14:paraId="1B684CE2">
            <w:pPr>
              <w:jc w:val="center"/>
              <w:rPr>
                <w:rFonts w:ascii="Times New Roman" w:hAnsi="Times New Roman" w:eastAsia="仿宋"/>
                <w:b/>
                <w:sz w:val="24"/>
                <w:szCs w:val="24"/>
              </w:rPr>
            </w:pPr>
            <w:r>
              <w:rPr>
                <w:rFonts w:hint="eastAsia" w:ascii="Times New Roman" w:hAnsi="Times New Roman" w:eastAsia="仿宋"/>
                <w:b/>
                <w:sz w:val="24"/>
                <w:szCs w:val="24"/>
              </w:rPr>
              <w:t>备注</w:t>
            </w:r>
          </w:p>
        </w:tc>
      </w:tr>
      <w:tr w14:paraId="011473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050" w:type="pct"/>
            <w:vAlign w:val="center"/>
          </w:tcPr>
          <w:p w14:paraId="03A152DC">
            <w:pPr>
              <w:jc w:val="center"/>
              <w:rPr>
                <w:rFonts w:ascii="Times New Roman" w:hAnsi="Times New Roman" w:eastAsia="仿宋"/>
                <w:b/>
                <w:sz w:val="24"/>
                <w:szCs w:val="24"/>
              </w:rPr>
            </w:pPr>
            <w:r>
              <w:rPr>
                <w:rFonts w:hint="eastAsia" w:ascii="Times New Roman" w:hAnsi="Times New Roman" w:eastAsia="仿宋"/>
                <w:b/>
                <w:sz w:val="24"/>
                <w:szCs w:val="24"/>
              </w:rPr>
              <w:t>胎圈钢丝</w:t>
            </w:r>
          </w:p>
        </w:tc>
        <w:tc>
          <w:tcPr>
            <w:tcW w:w="1710" w:type="pct"/>
            <w:vAlign w:val="center"/>
          </w:tcPr>
          <w:p w14:paraId="0E95D0C3">
            <w:pPr>
              <w:jc w:val="center"/>
              <w:rPr>
                <w:rFonts w:ascii="Times New Roman" w:hAnsi="Times New Roman" w:eastAsia="仿宋"/>
                <w:b/>
                <w:sz w:val="24"/>
                <w:szCs w:val="24"/>
              </w:rPr>
            </w:pPr>
          </w:p>
        </w:tc>
        <w:tc>
          <w:tcPr>
            <w:tcW w:w="1400" w:type="pct"/>
            <w:vAlign w:val="center"/>
          </w:tcPr>
          <w:p w14:paraId="497010C7">
            <w:pPr>
              <w:jc w:val="center"/>
              <w:rPr>
                <w:rFonts w:ascii="Times New Roman" w:hAnsi="Times New Roman" w:eastAsia="仿宋"/>
                <w:b/>
                <w:sz w:val="24"/>
                <w:szCs w:val="24"/>
              </w:rPr>
            </w:pPr>
          </w:p>
        </w:tc>
        <w:tc>
          <w:tcPr>
            <w:tcW w:w="840" w:type="pct"/>
            <w:vAlign w:val="center"/>
          </w:tcPr>
          <w:p w14:paraId="686F69A4">
            <w:pPr>
              <w:jc w:val="center"/>
              <w:rPr>
                <w:rFonts w:ascii="Times New Roman" w:hAnsi="Times New Roman" w:eastAsia="仿宋"/>
                <w:sz w:val="24"/>
                <w:szCs w:val="24"/>
              </w:rPr>
            </w:pPr>
          </w:p>
          <w:p w14:paraId="46BC4F12">
            <w:pPr>
              <w:jc w:val="center"/>
              <w:rPr>
                <w:rFonts w:ascii="Times New Roman" w:hAnsi="Times New Roman" w:eastAsia="仿宋"/>
                <w:sz w:val="24"/>
                <w:szCs w:val="24"/>
              </w:rPr>
            </w:pPr>
          </w:p>
        </w:tc>
      </w:tr>
    </w:tbl>
    <w:p w14:paraId="5BEC1251">
      <w:pPr>
        <w:rPr>
          <w:rFonts w:ascii="Times New Roman" w:hAnsi="Times New Roman" w:eastAsia="仿宋"/>
          <w:b/>
          <w:sz w:val="24"/>
          <w:szCs w:val="24"/>
        </w:rPr>
      </w:pPr>
      <w:r>
        <w:rPr>
          <w:rFonts w:hint="eastAsia" w:ascii="Times New Roman" w:hAnsi="Times New Roman" w:eastAsia="仿宋"/>
          <w:b/>
          <w:sz w:val="24"/>
          <w:szCs w:val="24"/>
        </w:rPr>
        <w:t>填报人：          联系电话：               填报日期：</w:t>
      </w:r>
    </w:p>
    <w:p w14:paraId="0864A931">
      <w:pPr>
        <w:widowControl/>
        <w:jc w:val="left"/>
      </w:pPr>
    </w:p>
    <w:p w14:paraId="6614F16A">
      <w:pPr>
        <w:widowControl/>
        <w:adjustRightInd w:val="0"/>
        <w:snapToGrid w:val="0"/>
        <w:spacing w:line="300" w:lineRule="auto"/>
        <w:jc w:val="left"/>
        <w:rPr>
          <w:rFonts w:ascii="黑体" w:hAnsi="黑体" w:eastAsia="黑体"/>
          <w:b/>
          <w:sz w:val="28"/>
          <w:szCs w:val="28"/>
        </w:rPr>
      </w:pPr>
      <w:r>
        <w:rPr>
          <w:rFonts w:hint="eastAsia" w:ascii="黑体" w:hAnsi="黑体" w:eastAsia="黑体"/>
          <w:b/>
          <w:sz w:val="28"/>
          <w:szCs w:val="28"/>
        </w:rPr>
        <w:t>5.混炼胶</w:t>
      </w:r>
    </w:p>
    <w:p w14:paraId="6A9D2489">
      <w:pPr>
        <w:adjustRightInd w:val="0"/>
        <w:snapToGrid w:val="0"/>
        <w:spacing w:line="300" w:lineRule="auto"/>
        <w:ind w:firstLine="560" w:firstLineChars="200"/>
        <w:rPr>
          <w:rFonts w:ascii="Times New Roman" w:hAnsi="Times New Roman" w:eastAsia="仿宋"/>
          <w:sz w:val="28"/>
          <w:szCs w:val="28"/>
        </w:rPr>
      </w:pPr>
      <w:r>
        <w:rPr>
          <w:rFonts w:hint="eastAsia" w:ascii="Times New Roman" w:hAnsi="Times New Roman" w:eastAsia="仿宋"/>
          <w:sz w:val="28"/>
          <w:szCs w:val="28"/>
        </w:rPr>
        <w:t>按照产品类型分别统计生产企业报告期内每吨混炼胶产品综合能源消耗量和万元产值能源消耗量（见表5）。统计范围和计算方法按照《混炼胶单位产品能源消耗限额》（</w:t>
      </w:r>
      <w:r>
        <w:rPr>
          <w:rFonts w:ascii="Times New Roman" w:hAnsi="Times New Roman" w:eastAsia="仿宋"/>
          <w:sz w:val="28"/>
          <w:szCs w:val="28"/>
        </w:rPr>
        <w:t>T/CRIA 18008</w:t>
      </w:r>
      <w:r>
        <w:rPr>
          <w:rFonts w:hint="eastAsia" w:ascii="Times New Roman" w:hAnsi="Times New Roman" w:eastAsia="仿宋"/>
          <w:sz w:val="28"/>
          <w:szCs w:val="28"/>
        </w:rPr>
        <w:t>）的规定进行。</w:t>
      </w:r>
    </w:p>
    <w:p w14:paraId="083AB528">
      <w:pPr>
        <w:spacing w:line="360" w:lineRule="auto"/>
        <w:jc w:val="center"/>
        <w:rPr>
          <w:rFonts w:ascii="Times New Roman" w:hAnsi="Times New Roman" w:eastAsia="仿宋"/>
          <w:b/>
          <w:sz w:val="24"/>
          <w:szCs w:val="24"/>
        </w:rPr>
      </w:pPr>
      <w:r>
        <w:rPr>
          <w:rFonts w:hint="eastAsia" w:ascii="Times New Roman" w:hAnsi="Times New Roman" w:eastAsia="仿宋"/>
          <w:b/>
          <w:sz w:val="24"/>
          <w:szCs w:val="24"/>
        </w:rPr>
        <w:t>表5 混炼胶单位产品综合能源消耗量和万元产值能耗量统计表</w:t>
      </w:r>
    </w:p>
    <w:p w14:paraId="6232284D">
      <w:pPr>
        <w:spacing w:line="360" w:lineRule="auto"/>
        <w:rPr>
          <w:rFonts w:ascii="Times New Roman" w:hAnsi="Times New Roman" w:eastAsia="仿宋"/>
          <w:b/>
          <w:sz w:val="24"/>
          <w:szCs w:val="24"/>
        </w:rPr>
      </w:pPr>
      <w:r>
        <w:rPr>
          <w:rFonts w:hint="eastAsia" w:ascii="Times New Roman" w:hAnsi="Times New Roman" w:eastAsia="仿宋"/>
          <w:b/>
          <w:sz w:val="24"/>
          <w:szCs w:val="24"/>
        </w:rPr>
        <w:t>单位：</w:t>
      </w:r>
      <w:r>
        <w:rPr>
          <w:rFonts w:hint="eastAsia" w:ascii="Times New Roman" w:hAnsi="Times New Roman" w:eastAsia="仿宋"/>
          <w:b/>
          <w:sz w:val="24"/>
          <w:szCs w:val="24"/>
          <w:u w:val="single"/>
        </w:rPr>
        <w:t xml:space="preserve">×××企业          </w:t>
      </w:r>
      <w:r>
        <w:rPr>
          <w:rFonts w:hint="eastAsia" w:ascii="Times New Roman" w:hAnsi="Times New Roman" w:eastAsia="仿宋"/>
          <w:b/>
          <w:sz w:val="24"/>
          <w:szCs w:val="24"/>
        </w:rPr>
        <w:t xml:space="preserve">         报告期：2024年1月1日—12月31日</w:t>
      </w:r>
    </w:p>
    <w:tbl>
      <w:tblPr>
        <w:tblStyle w:val="2"/>
        <w:tblW w:w="5000"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789"/>
        <w:gridCol w:w="2915"/>
        <w:gridCol w:w="2386"/>
        <w:gridCol w:w="1432"/>
      </w:tblGrid>
      <w:tr w14:paraId="4D022A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050" w:type="pct"/>
            <w:vAlign w:val="center"/>
          </w:tcPr>
          <w:p w14:paraId="2A9A3AD1">
            <w:pPr>
              <w:jc w:val="center"/>
              <w:rPr>
                <w:rFonts w:ascii="Times New Roman" w:hAnsi="Times New Roman" w:eastAsia="仿宋"/>
                <w:b/>
                <w:sz w:val="24"/>
                <w:szCs w:val="24"/>
              </w:rPr>
            </w:pPr>
            <w:r>
              <w:rPr>
                <w:rFonts w:hint="eastAsia" w:ascii="Times New Roman" w:hAnsi="Times New Roman" w:eastAsia="仿宋"/>
                <w:b/>
                <w:sz w:val="24"/>
                <w:szCs w:val="24"/>
              </w:rPr>
              <w:t>产品类型</w:t>
            </w:r>
          </w:p>
        </w:tc>
        <w:tc>
          <w:tcPr>
            <w:tcW w:w="1710" w:type="pct"/>
            <w:vAlign w:val="center"/>
          </w:tcPr>
          <w:p w14:paraId="39779D1D">
            <w:pPr>
              <w:jc w:val="center"/>
              <w:rPr>
                <w:rFonts w:ascii="Times New Roman" w:hAnsi="Times New Roman" w:eastAsia="仿宋"/>
                <w:b/>
                <w:sz w:val="24"/>
                <w:szCs w:val="24"/>
              </w:rPr>
            </w:pPr>
            <w:r>
              <w:rPr>
                <w:rFonts w:hint="eastAsia" w:ascii="Times New Roman" w:hAnsi="Times New Roman" w:eastAsia="仿宋"/>
                <w:b/>
                <w:sz w:val="24"/>
                <w:szCs w:val="24"/>
              </w:rPr>
              <w:t>每吨混炼胶单位产品综合能源消耗量（千克标准煤/吨）</w:t>
            </w:r>
          </w:p>
        </w:tc>
        <w:tc>
          <w:tcPr>
            <w:tcW w:w="1400" w:type="pct"/>
            <w:vAlign w:val="center"/>
          </w:tcPr>
          <w:p w14:paraId="541B373A">
            <w:pPr>
              <w:jc w:val="center"/>
              <w:rPr>
                <w:rFonts w:ascii="Times New Roman" w:hAnsi="Times New Roman" w:eastAsia="仿宋"/>
                <w:b/>
                <w:sz w:val="24"/>
                <w:szCs w:val="24"/>
              </w:rPr>
            </w:pPr>
            <w:r>
              <w:rPr>
                <w:rFonts w:hint="eastAsia" w:ascii="Times New Roman" w:hAnsi="Times New Roman" w:eastAsia="仿宋"/>
                <w:b/>
                <w:sz w:val="24"/>
                <w:szCs w:val="24"/>
              </w:rPr>
              <w:t>万元产值能耗量</w:t>
            </w:r>
          </w:p>
          <w:p w14:paraId="27E54562">
            <w:pPr>
              <w:jc w:val="center"/>
              <w:rPr>
                <w:rFonts w:ascii="Times New Roman" w:hAnsi="Times New Roman" w:eastAsia="仿宋"/>
                <w:b/>
                <w:sz w:val="24"/>
                <w:szCs w:val="24"/>
              </w:rPr>
            </w:pPr>
            <w:r>
              <w:rPr>
                <w:rFonts w:hint="eastAsia" w:ascii="Times New Roman" w:hAnsi="Times New Roman" w:eastAsia="仿宋"/>
                <w:b/>
                <w:sz w:val="24"/>
                <w:szCs w:val="24"/>
              </w:rPr>
              <w:t>（千克标准煤/万元）</w:t>
            </w:r>
          </w:p>
        </w:tc>
        <w:tc>
          <w:tcPr>
            <w:tcW w:w="840" w:type="pct"/>
            <w:vAlign w:val="center"/>
          </w:tcPr>
          <w:p w14:paraId="1EF589C4">
            <w:pPr>
              <w:jc w:val="center"/>
              <w:rPr>
                <w:rFonts w:ascii="Times New Roman" w:hAnsi="Times New Roman" w:eastAsia="仿宋"/>
                <w:b/>
                <w:sz w:val="24"/>
                <w:szCs w:val="24"/>
              </w:rPr>
            </w:pPr>
            <w:r>
              <w:rPr>
                <w:rFonts w:hint="eastAsia" w:ascii="Times New Roman" w:hAnsi="Times New Roman" w:eastAsia="仿宋"/>
                <w:b/>
                <w:sz w:val="24"/>
                <w:szCs w:val="24"/>
              </w:rPr>
              <w:t>备注</w:t>
            </w:r>
          </w:p>
        </w:tc>
      </w:tr>
      <w:tr w14:paraId="5CF5BA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050" w:type="pct"/>
            <w:vAlign w:val="center"/>
          </w:tcPr>
          <w:p w14:paraId="7757F0D6">
            <w:pPr>
              <w:jc w:val="center"/>
              <w:rPr>
                <w:rFonts w:ascii="Times New Roman" w:hAnsi="Times New Roman" w:eastAsia="仿宋"/>
                <w:b/>
                <w:sz w:val="24"/>
                <w:szCs w:val="24"/>
              </w:rPr>
            </w:pPr>
            <w:r>
              <w:rPr>
                <w:rFonts w:hint="eastAsia" w:ascii="Times New Roman" w:hAnsi="Times New Roman" w:eastAsia="仿宋"/>
                <w:b/>
                <w:sz w:val="24"/>
                <w:szCs w:val="24"/>
              </w:rPr>
              <w:t>混炼胶</w:t>
            </w:r>
          </w:p>
        </w:tc>
        <w:tc>
          <w:tcPr>
            <w:tcW w:w="1710" w:type="pct"/>
            <w:vAlign w:val="center"/>
          </w:tcPr>
          <w:p w14:paraId="3E0F0060">
            <w:pPr>
              <w:jc w:val="center"/>
              <w:rPr>
                <w:rFonts w:ascii="Times New Roman" w:hAnsi="Times New Roman" w:eastAsia="仿宋"/>
                <w:b/>
                <w:sz w:val="24"/>
                <w:szCs w:val="24"/>
              </w:rPr>
            </w:pPr>
          </w:p>
        </w:tc>
        <w:tc>
          <w:tcPr>
            <w:tcW w:w="1400" w:type="pct"/>
            <w:vAlign w:val="center"/>
          </w:tcPr>
          <w:p w14:paraId="0C551387">
            <w:pPr>
              <w:jc w:val="center"/>
              <w:rPr>
                <w:rFonts w:ascii="Times New Roman" w:hAnsi="Times New Roman" w:eastAsia="仿宋"/>
                <w:b/>
                <w:sz w:val="24"/>
                <w:szCs w:val="24"/>
              </w:rPr>
            </w:pPr>
          </w:p>
        </w:tc>
        <w:tc>
          <w:tcPr>
            <w:tcW w:w="840" w:type="pct"/>
            <w:vAlign w:val="center"/>
          </w:tcPr>
          <w:p w14:paraId="0C6FAFEE">
            <w:pPr>
              <w:jc w:val="center"/>
              <w:rPr>
                <w:rFonts w:ascii="Times New Roman" w:hAnsi="Times New Roman" w:eastAsia="仿宋"/>
                <w:sz w:val="24"/>
                <w:szCs w:val="24"/>
              </w:rPr>
            </w:pPr>
          </w:p>
          <w:p w14:paraId="128A6DFB">
            <w:pPr>
              <w:jc w:val="center"/>
              <w:rPr>
                <w:rFonts w:ascii="Times New Roman" w:hAnsi="Times New Roman" w:eastAsia="仿宋"/>
                <w:sz w:val="24"/>
                <w:szCs w:val="24"/>
              </w:rPr>
            </w:pPr>
          </w:p>
        </w:tc>
      </w:tr>
    </w:tbl>
    <w:p w14:paraId="31945B49">
      <w:pPr>
        <w:rPr>
          <w:rFonts w:ascii="Times New Roman" w:hAnsi="Times New Roman" w:eastAsia="仿宋"/>
          <w:b/>
          <w:sz w:val="24"/>
          <w:szCs w:val="24"/>
        </w:rPr>
      </w:pPr>
      <w:r>
        <w:rPr>
          <w:rFonts w:hint="eastAsia" w:ascii="Times New Roman" w:hAnsi="Times New Roman" w:eastAsia="仿宋"/>
          <w:b/>
          <w:sz w:val="24"/>
          <w:szCs w:val="24"/>
        </w:rPr>
        <w:t>填报人：          联系电话：               填报日期：</w:t>
      </w:r>
    </w:p>
    <w:p w14:paraId="57DF6659"/>
    <w:sectPr>
      <w:pgSz w:w="11906" w:h="16838"/>
      <w:pgMar w:top="1020" w:right="1800" w:bottom="243"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216076D"/>
    <w:rsid w:val="421607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2025-05-27T06:37:00Z</dcterms:created>
  <dc:creator>zouyh</dc:creator>
  <cp:lastModifiedBy>zouyh</cp:lastModifiedBy>
  <dcterms:modified xsi:type="dcterms:W3CDTF">2025-05-27T06:39:00Z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31E0CD4D5B844FA9B8DB988833AC5D60_11</vt:lpwstr>
  </property>
  <property fmtid="{D5CDD505-2E9C-101B-9397-08002B2CF9AE}" pid="4" name="KSOTemplateDocerSaveRecord">
    <vt:lpwstr>eyJoZGlkIjoiOTVkNmYxMjVmYWFmNDFlMDY4MzM4OGE0YzRmMzRhZGMiLCJ1c2VySWQiOiI2MjUwNjIwODIifQ==</vt:lpwstr>
  </property>
</Properties>
</file>